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810A6" w14:textId="77777777" w:rsidR="008A22C6" w:rsidRPr="009D6B97" w:rsidRDefault="009D6B97" w:rsidP="009D6B97">
      <w:pPr>
        <w:ind w:hanging="709"/>
        <w:rPr>
          <w:rFonts w:asciiTheme="minorHAnsi" w:hAnsiTheme="minorHAnsi" w:cstheme="minorHAnsi"/>
          <w:sz w:val="28"/>
          <w:szCs w:val="28"/>
        </w:rPr>
      </w:pPr>
      <w:r w:rsidRPr="009D6B97">
        <w:rPr>
          <w:rFonts w:asciiTheme="minorHAnsi" w:hAnsiTheme="minorHAnsi" w:cstheme="minorHAnsi"/>
          <w:sz w:val="28"/>
          <w:szCs w:val="28"/>
        </w:rPr>
        <w:t>Finance &amp; Performance Scrutiny P</w:t>
      </w:r>
      <w:r w:rsidR="00176585">
        <w:rPr>
          <w:rFonts w:asciiTheme="minorHAnsi" w:hAnsiTheme="minorHAnsi" w:cstheme="minorHAnsi"/>
          <w:sz w:val="28"/>
          <w:szCs w:val="28"/>
        </w:rPr>
        <w:t>anel – KPI Performance report Q3/December</w:t>
      </w:r>
      <w:r w:rsidR="000A58FA">
        <w:rPr>
          <w:rFonts w:asciiTheme="minorHAnsi" w:hAnsiTheme="minorHAnsi" w:cstheme="minorHAnsi"/>
          <w:sz w:val="28"/>
          <w:szCs w:val="28"/>
        </w:rPr>
        <w:t xml:space="preserve"> </w:t>
      </w:r>
      <w:r w:rsidRPr="009D6B97">
        <w:rPr>
          <w:rFonts w:asciiTheme="minorHAnsi" w:hAnsiTheme="minorHAnsi" w:cstheme="minorHAnsi"/>
          <w:sz w:val="28"/>
          <w:szCs w:val="28"/>
        </w:rPr>
        <w:t>2022/23</w:t>
      </w:r>
    </w:p>
    <w:p w14:paraId="75537EE7" w14:textId="77777777" w:rsidR="009D6B97" w:rsidRDefault="009D6B97" w:rsidP="008A22C6"/>
    <w:tbl>
      <w:tblPr>
        <w:tblW w:w="15927" w:type="dxa"/>
        <w:tblInd w:w="-601" w:type="dxa"/>
        <w:tblLook w:val="04A0" w:firstRow="1" w:lastRow="0" w:firstColumn="1" w:lastColumn="0" w:noHBand="0" w:noVBand="1"/>
      </w:tblPr>
      <w:tblGrid>
        <w:gridCol w:w="1276"/>
        <w:gridCol w:w="3119"/>
        <w:gridCol w:w="1276"/>
        <w:gridCol w:w="1218"/>
        <w:gridCol w:w="1218"/>
        <w:gridCol w:w="1441"/>
        <w:gridCol w:w="6379"/>
      </w:tblGrid>
      <w:tr w:rsidR="009D6B97" w:rsidRPr="009D6B97" w14:paraId="6F923804" w14:textId="77777777" w:rsidTr="004E4A4C">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14:paraId="1F385284" w14:textId="77777777" w:rsidR="009D6B97" w:rsidRPr="009D6B97" w:rsidRDefault="009D6B97" w:rsidP="009D6B97">
            <w:pPr>
              <w:rPr>
                <w:rFonts w:ascii="Calibri" w:eastAsia="Times New Roman" w:hAnsi="Calibri" w:cs="Calibri"/>
                <w:b/>
                <w:bCs/>
                <w:sz w:val="22"/>
                <w:szCs w:val="22"/>
                <w:lang w:eastAsia="en-GB"/>
              </w:rPr>
            </w:pPr>
            <w:bookmarkStart w:id="0" w:name="_GoBack" w:colFirst="0" w:colLast="7"/>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14:paraId="4EC24953" w14:textId="77777777"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14:paraId="0E83D7E9" w14:textId="77777777"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18"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72FEC88D" w14:textId="77777777" w:rsidR="009D6B97" w:rsidRPr="009D6B97" w:rsidRDefault="009D6B97"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2022/23</w:t>
            </w:r>
            <w:r w:rsidRPr="009D6B97">
              <w:rPr>
                <w:rFonts w:ascii="Calibri" w:eastAsia="Times New Roman" w:hAnsi="Calibri" w:cs="Calibri"/>
                <w:b/>
                <w:bCs/>
                <w:sz w:val="22"/>
                <w:szCs w:val="22"/>
                <w:lang w:eastAsia="en-GB"/>
              </w:rPr>
              <w:t xml:space="preserve"> target</w:t>
            </w:r>
          </w:p>
        </w:tc>
        <w:tc>
          <w:tcPr>
            <w:tcW w:w="1218" w:type="dxa"/>
            <w:tcBorders>
              <w:top w:val="single" w:sz="8" w:space="0" w:color="auto"/>
              <w:left w:val="nil"/>
              <w:bottom w:val="single" w:sz="8" w:space="0" w:color="auto"/>
              <w:right w:val="nil"/>
            </w:tcBorders>
            <w:shd w:val="clear" w:color="auto" w:fill="00B0F0"/>
            <w:vAlign w:val="bottom"/>
            <w:hideMark/>
          </w:tcPr>
          <w:p w14:paraId="3360D14B" w14:textId="77777777" w:rsidR="009D6B97" w:rsidRPr="009D6B97" w:rsidRDefault="00176585"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December </w:t>
            </w:r>
            <w:r w:rsidR="009D6B97" w:rsidRPr="009D6B97">
              <w:rPr>
                <w:rFonts w:ascii="Calibri" w:eastAsia="Times New Roman" w:hAnsi="Calibri" w:cs="Calibri"/>
                <w:b/>
                <w:bCs/>
                <w:sz w:val="22"/>
                <w:szCs w:val="22"/>
                <w:lang w:eastAsia="en-GB"/>
              </w:rPr>
              <w:t>Target</w:t>
            </w:r>
          </w:p>
        </w:tc>
        <w:tc>
          <w:tcPr>
            <w:tcW w:w="1441" w:type="dxa"/>
            <w:tcBorders>
              <w:top w:val="single" w:sz="8" w:space="0" w:color="auto"/>
              <w:left w:val="single" w:sz="8" w:space="0" w:color="auto"/>
              <w:bottom w:val="single" w:sz="8" w:space="0" w:color="auto"/>
              <w:right w:val="single" w:sz="8" w:space="0" w:color="auto"/>
            </w:tcBorders>
            <w:shd w:val="clear" w:color="auto" w:fill="00B0F0"/>
            <w:vAlign w:val="bottom"/>
            <w:hideMark/>
          </w:tcPr>
          <w:p w14:paraId="2449FEB1" w14:textId="77777777" w:rsidR="009D6B97" w:rsidRPr="009D6B97" w:rsidRDefault="00176585" w:rsidP="009D6B97">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December</w:t>
            </w:r>
            <w:r w:rsidR="009F2CF6">
              <w:rPr>
                <w:rFonts w:ascii="Calibri" w:eastAsia="Times New Roman" w:hAnsi="Calibri" w:cs="Calibri"/>
                <w:b/>
                <w:bCs/>
                <w:sz w:val="22"/>
                <w:szCs w:val="22"/>
                <w:lang w:eastAsia="en-GB"/>
              </w:rPr>
              <w:t xml:space="preserve"> </w:t>
            </w:r>
            <w:r w:rsidR="009D6B97"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14:paraId="45BC9AFA" w14:textId="77777777" w:rsidR="009D6B97" w:rsidRPr="009D6B97" w:rsidRDefault="009D6B97" w:rsidP="009D6B97">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9D6B97" w:rsidRPr="009D6B97" w14:paraId="217ED192"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577BF16E"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14:paraId="48E9EC1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14:paraId="5113141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18" w:type="dxa"/>
            <w:tcBorders>
              <w:top w:val="nil"/>
              <w:left w:val="single" w:sz="8" w:space="0" w:color="auto"/>
              <w:bottom w:val="single" w:sz="4" w:space="0" w:color="auto"/>
              <w:right w:val="single" w:sz="8" w:space="0" w:color="auto"/>
            </w:tcBorders>
            <w:shd w:val="clear" w:color="auto" w:fill="auto"/>
            <w:hideMark/>
          </w:tcPr>
          <w:p w14:paraId="63F74345"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8" w:type="dxa"/>
            <w:tcBorders>
              <w:top w:val="nil"/>
              <w:left w:val="nil"/>
              <w:bottom w:val="single" w:sz="4" w:space="0" w:color="auto"/>
              <w:right w:val="nil"/>
            </w:tcBorders>
            <w:shd w:val="clear" w:color="auto" w:fill="auto"/>
            <w:hideMark/>
          </w:tcPr>
          <w:p w14:paraId="1FDCAAC0"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441" w:type="dxa"/>
            <w:tcBorders>
              <w:top w:val="nil"/>
              <w:left w:val="single" w:sz="8" w:space="0" w:color="auto"/>
              <w:bottom w:val="single" w:sz="4" w:space="0" w:color="auto"/>
              <w:right w:val="single" w:sz="8" w:space="0" w:color="auto"/>
            </w:tcBorders>
            <w:shd w:val="clear" w:color="auto" w:fill="auto"/>
            <w:hideMark/>
          </w:tcPr>
          <w:p w14:paraId="6F8F44D0" w14:textId="77777777" w:rsidR="009D6B97" w:rsidRPr="009D6B97" w:rsidRDefault="006E201D"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7.62%</w:t>
            </w:r>
          </w:p>
        </w:tc>
        <w:tc>
          <w:tcPr>
            <w:tcW w:w="6379" w:type="dxa"/>
            <w:tcBorders>
              <w:top w:val="nil"/>
              <w:left w:val="nil"/>
              <w:bottom w:val="single" w:sz="4" w:space="0" w:color="auto"/>
              <w:right w:val="single" w:sz="8" w:space="0" w:color="auto"/>
            </w:tcBorders>
            <w:shd w:val="clear" w:color="auto" w:fill="auto"/>
            <w:hideMark/>
          </w:tcPr>
          <w:p w14:paraId="664FE130" w14:textId="543C4A36" w:rsidR="009D6B97" w:rsidRPr="009D6B97" w:rsidRDefault="009D6B97" w:rsidP="00F264F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2316CA" w:rsidRPr="00055BFA">
              <w:rPr>
                <w:rFonts w:ascii="Calibri" w:eastAsia="Times New Roman" w:hAnsi="Calibri" w:cs="Calibri"/>
                <w:sz w:val="22"/>
                <w:szCs w:val="22"/>
                <w:lang w:eastAsia="en-GB"/>
              </w:rPr>
              <w:t xml:space="preserve">Staff turnover has reduced over the last couple of months </w:t>
            </w:r>
            <w:r w:rsidR="00F264F7" w:rsidRPr="000930F8">
              <w:rPr>
                <w:rFonts w:ascii="Calibri" w:eastAsia="Times New Roman" w:hAnsi="Calibri" w:cs="Calibri"/>
                <w:sz w:val="22"/>
                <w:szCs w:val="22"/>
                <w:lang w:eastAsia="en-GB"/>
              </w:rPr>
              <w:t xml:space="preserve">to 7.62% </w:t>
            </w:r>
            <w:r w:rsidR="002316CA" w:rsidRPr="00055BFA">
              <w:rPr>
                <w:rFonts w:ascii="Calibri" w:eastAsia="Times New Roman" w:hAnsi="Calibri" w:cs="Calibri"/>
                <w:sz w:val="22"/>
                <w:szCs w:val="22"/>
                <w:lang w:eastAsia="en-GB"/>
              </w:rPr>
              <w:t xml:space="preserve">after being </w:t>
            </w:r>
            <w:r w:rsidR="00F264F7" w:rsidRPr="000930F8">
              <w:rPr>
                <w:rFonts w:ascii="Calibri" w:eastAsia="Times New Roman" w:hAnsi="Calibri" w:cs="Calibri"/>
                <w:sz w:val="22"/>
                <w:szCs w:val="22"/>
                <w:lang w:eastAsia="en-GB"/>
              </w:rPr>
              <w:t>between</w:t>
            </w:r>
            <w:r w:rsidR="002316CA" w:rsidRPr="00055BFA">
              <w:rPr>
                <w:rFonts w:ascii="Calibri" w:eastAsia="Times New Roman" w:hAnsi="Calibri" w:cs="Calibri"/>
                <w:sz w:val="22"/>
                <w:szCs w:val="22"/>
                <w:lang w:eastAsia="en-GB"/>
              </w:rPr>
              <w:t xml:space="preserve"> 10 to 11% for most of 2022. It has gradually fallen from 10% in September 2022 to the current level.</w:t>
            </w:r>
            <w:r w:rsidR="002316CA">
              <w:rPr>
                <w:rFonts w:ascii="Calibri" w:eastAsia="Times New Roman" w:hAnsi="Calibri" w:cs="Calibri"/>
                <w:sz w:val="22"/>
                <w:szCs w:val="22"/>
                <w:lang w:eastAsia="en-GB"/>
              </w:rPr>
              <w:t xml:space="preserve"> We</w:t>
            </w:r>
            <w:r w:rsidR="00E62739">
              <w:rPr>
                <w:rFonts w:ascii="Calibri" w:eastAsia="Times New Roman" w:hAnsi="Calibri" w:cs="Calibri"/>
                <w:sz w:val="22"/>
                <w:szCs w:val="22"/>
                <w:lang w:eastAsia="en-GB"/>
              </w:rPr>
              <w:t xml:space="preserve"> are still struggling to recruit to vacant roles so </w:t>
            </w:r>
            <w:r w:rsidR="00F264F7">
              <w:rPr>
                <w:rFonts w:ascii="Calibri" w:eastAsia="Times New Roman" w:hAnsi="Calibri" w:cs="Calibri"/>
                <w:sz w:val="22"/>
                <w:szCs w:val="22"/>
                <w:lang w:eastAsia="en-GB"/>
              </w:rPr>
              <w:t xml:space="preserve">lower </w:t>
            </w:r>
            <w:r w:rsidR="00341DA6">
              <w:rPr>
                <w:rFonts w:ascii="Calibri" w:eastAsia="Times New Roman" w:hAnsi="Calibri" w:cs="Calibri"/>
                <w:sz w:val="22"/>
                <w:szCs w:val="22"/>
                <w:lang w:eastAsia="en-GB"/>
              </w:rPr>
              <w:t xml:space="preserve">turnover </w:t>
            </w:r>
            <w:r w:rsidR="00E62739">
              <w:rPr>
                <w:rFonts w:ascii="Calibri" w:eastAsia="Times New Roman" w:hAnsi="Calibri" w:cs="Calibri"/>
                <w:sz w:val="22"/>
                <w:szCs w:val="22"/>
                <w:lang w:eastAsia="en-GB"/>
              </w:rPr>
              <w:t>is good news. The reasons for the reduction could be attributed to a resistance to move from what is seen as stable employment in local government in the current cost of living crisis and with the threat of recession.</w:t>
            </w:r>
          </w:p>
        </w:tc>
      </w:tr>
      <w:tr w:rsidR="009D6B97" w:rsidRPr="009D6B97" w14:paraId="4DB4524B" w14:textId="77777777" w:rsidTr="004E4A4C">
        <w:trPr>
          <w:trHeight w:val="290"/>
        </w:trPr>
        <w:tc>
          <w:tcPr>
            <w:tcW w:w="1276" w:type="dxa"/>
            <w:tcBorders>
              <w:top w:val="nil"/>
              <w:left w:val="single" w:sz="8" w:space="0" w:color="auto"/>
              <w:bottom w:val="single" w:sz="4" w:space="0" w:color="auto"/>
              <w:right w:val="nil"/>
            </w:tcBorders>
            <w:shd w:val="clear" w:color="auto" w:fill="auto"/>
            <w:noWrap/>
            <w:hideMark/>
          </w:tcPr>
          <w:p w14:paraId="193A8D6E" w14:textId="77777777" w:rsid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CH001</w:t>
            </w:r>
          </w:p>
          <w:p w14:paraId="7650820F" w14:textId="77777777" w:rsidR="009D6B97" w:rsidRPr="009D6B97"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14:paraId="099A762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14:paraId="05B2B36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Gail Malkin</w:t>
            </w:r>
          </w:p>
        </w:tc>
        <w:tc>
          <w:tcPr>
            <w:tcW w:w="1218" w:type="dxa"/>
            <w:tcBorders>
              <w:top w:val="nil"/>
              <w:left w:val="single" w:sz="8" w:space="0" w:color="auto"/>
              <w:bottom w:val="single" w:sz="4" w:space="0" w:color="auto"/>
              <w:right w:val="single" w:sz="8" w:space="0" w:color="auto"/>
            </w:tcBorders>
            <w:shd w:val="clear" w:color="auto" w:fill="auto"/>
            <w:hideMark/>
          </w:tcPr>
          <w:p w14:paraId="3399EB23" w14:textId="4DB38FA2" w:rsidR="009D6B97" w:rsidRPr="009D6B97" w:rsidRDefault="002316CA" w:rsidP="009F2CF6">
            <w:pPr>
              <w:rPr>
                <w:rFonts w:ascii="Calibri" w:eastAsia="Times New Roman" w:hAnsi="Calibri" w:cs="Calibri"/>
                <w:sz w:val="22"/>
                <w:szCs w:val="22"/>
                <w:lang w:eastAsia="en-GB"/>
              </w:rPr>
            </w:pPr>
            <w:r>
              <w:rPr>
                <w:rFonts w:ascii="Calibri" w:eastAsia="Times New Roman" w:hAnsi="Calibri" w:cs="Calibri"/>
                <w:sz w:val="22"/>
                <w:szCs w:val="22"/>
                <w:lang w:eastAsia="en-GB"/>
              </w:rPr>
              <w:t>6.5</w:t>
            </w:r>
          </w:p>
        </w:tc>
        <w:tc>
          <w:tcPr>
            <w:tcW w:w="1218" w:type="dxa"/>
            <w:tcBorders>
              <w:top w:val="nil"/>
              <w:left w:val="nil"/>
              <w:bottom w:val="single" w:sz="4" w:space="0" w:color="auto"/>
              <w:right w:val="nil"/>
            </w:tcBorders>
            <w:shd w:val="clear" w:color="auto" w:fill="auto"/>
            <w:hideMark/>
          </w:tcPr>
          <w:p w14:paraId="32DE5A55" w14:textId="281BCDD1" w:rsidR="009D6B97" w:rsidRPr="009D6B97" w:rsidRDefault="002316C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w:t>
            </w:r>
            <w:r w:rsidR="009D6B97" w:rsidRPr="009D6B97">
              <w:rPr>
                <w:rFonts w:ascii="Calibri" w:eastAsia="Times New Roman" w:hAnsi="Calibri" w:cs="Calibri"/>
                <w:sz w:val="22"/>
                <w:szCs w:val="22"/>
                <w:lang w:eastAsia="en-GB"/>
              </w:rPr>
              <w:t> </w:t>
            </w:r>
          </w:p>
        </w:tc>
        <w:tc>
          <w:tcPr>
            <w:tcW w:w="1441" w:type="dxa"/>
            <w:tcBorders>
              <w:top w:val="nil"/>
              <w:left w:val="single" w:sz="8" w:space="0" w:color="auto"/>
              <w:bottom w:val="single" w:sz="4" w:space="0" w:color="auto"/>
              <w:right w:val="single" w:sz="8" w:space="0" w:color="auto"/>
            </w:tcBorders>
            <w:shd w:val="clear" w:color="auto" w:fill="00B050"/>
            <w:hideMark/>
          </w:tcPr>
          <w:p w14:paraId="173C46B3" w14:textId="77777777" w:rsidR="009D6B97" w:rsidRPr="009D6B97" w:rsidRDefault="00900E1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5.49</w:t>
            </w:r>
          </w:p>
        </w:tc>
        <w:tc>
          <w:tcPr>
            <w:tcW w:w="6379" w:type="dxa"/>
            <w:tcBorders>
              <w:top w:val="nil"/>
              <w:left w:val="nil"/>
              <w:bottom w:val="single" w:sz="4" w:space="0" w:color="auto"/>
              <w:right w:val="single" w:sz="8" w:space="0" w:color="auto"/>
            </w:tcBorders>
            <w:shd w:val="clear" w:color="auto" w:fill="auto"/>
            <w:hideMark/>
          </w:tcPr>
          <w:p w14:paraId="7E70F001" w14:textId="62990E1B"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2316CA">
              <w:rPr>
                <w:rFonts w:ascii="Calibri" w:eastAsia="Times New Roman" w:hAnsi="Calibri" w:cs="Calibri"/>
                <w:sz w:val="22"/>
                <w:szCs w:val="22"/>
                <w:lang w:eastAsia="en-GB"/>
              </w:rPr>
              <w:t>We are performing below target, which is positive. Absence reports are produced monthly to Heads of Service to enable them to monitor absence in their areas. Where absence is higher than target, Heads of Service have plans in place to manage current absence, support returns to work and improve attendance.</w:t>
            </w:r>
          </w:p>
        </w:tc>
      </w:tr>
      <w:tr w:rsidR="009D6B97" w:rsidRPr="009D6B97" w14:paraId="4658BD0F" w14:textId="77777777" w:rsidTr="004E4A4C">
        <w:trPr>
          <w:trHeight w:val="3283"/>
        </w:trPr>
        <w:tc>
          <w:tcPr>
            <w:tcW w:w="1276" w:type="dxa"/>
            <w:tcBorders>
              <w:top w:val="nil"/>
              <w:left w:val="single" w:sz="8" w:space="0" w:color="auto"/>
              <w:bottom w:val="single" w:sz="4" w:space="0" w:color="auto"/>
              <w:right w:val="nil"/>
            </w:tcBorders>
            <w:shd w:val="clear" w:color="auto" w:fill="auto"/>
            <w:noWrap/>
            <w:hideMark/>
          </w:tcPr>
          <w:p w14:paraId="19C5F1D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14:paraId="59DCBDB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14:paraId="04662CA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18" w:type="dxa"/>
            <w:tcBorders>
              <w:top w:val="nil"/>
              <w:left w:val="single" w:sz="8" w:space="0" w:color="auto"/>
              <w:bottom w:val="single" w:sz="4" w:space="0" w:color="auto"/>
              <w:right w:val="single" w:sz="8" w:space="0" w:color="auto"/>
            </w:tcBorders>
            <w:shd w:val="clear" w:color="auto" w:fill="auto"/>
            <w:hideMark/>
          </w:tcPr>
          <w:p w14:paraId="5ECBFE73"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218" w:type="dxa"/>
            <w:tcBorders>
              <w:top w:val="nil"/>
              <w:left w:val="nil"/>
              <w:bottom w:val="single" w:sz="4" w:space="0" w:color="auto"/>
              <w:right w:val="nil"/>
            </w:tcBorders>
            <w:shd w:val="clear" w:color="auto" w:fill="auto"/>
            <w:hideMark/>
          </w:tcPr>
          <w:p w14:paraId="52ED5E50"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441" w:type="dxa"/>
            <w:tcBorders>
              <w:top w:val="nil"/>
              <w:left w:val="single" w:sz="8" w:space="0" w:color="auto"/>
              <w:bottom w:val="single" w:sz="4" w:space="0" w:color="auto"/>
              <w:right w:val="single" w:sz="8" w:space="0" w:color="auto"/>
            </w:tcBorders>
            <w:shd w:val="clear" w:color="auto" w:fill="FFC000"/>
            <w:noWrap/>
            <w:hideMark/>
          </w:tcPr>
          <w:p w14:paraId="77480969" w14:textId="77777777" w:rsidR="009D6B97" w:rsidRPr="009D6B97" w:rsidRDefault="00176585"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88.3</w:t>
            </w:r>
          </w:p>
        </w:tc>
        <w:tc>
          <w:tcPr>
            <w:tcW w:w="6379" w:type="dxa"/>
            <w:tcBorders>
              <w:top w:val="nil"/>
              <w:left w:val="nil"/>
              <w:bottom w:val="single" w:sz="4" w:space="0" w:color="auto"/>
              <w:right w:val="single" w:sz="8" w:space="0" w:color="auto"/>
            </w:tcBorders>
            <w:shd w:val="clear" w:color="auto" w:fill="auto"/>
            <w:hideMark/>
          </w:tcPr>
          <w:p w14:paraId="219E05FF" w14:textId="77777777" w:rsidR="009D6B97" w:rsidRPr="009D6B97" w:rsidRDefault="00176585" w:rsidP="009D6B97">
            <w:pPr>
              <w:rPr>
                <w:rFonts w:ascii="Calibri" w:eastAsia="Times New Roman" w:hAnsi="Calibri" w:cs="Calibri"/>
                <w:sz w:val="22"/>
                <w:szCs w:val="22"/>
                <w:lang w:eastAsia="en-GB"/>
              </w:rPr>
            </w:pPr>
            <w:r>
              <w:rPr>
                <w:color w:val="000000"/>
                <w:sz w:val="20"/>
                <w:szCs w:val="20"/>
                <w:shd w:val="clear" w:color="auto" w:fill="FFFFFF"/>
              </w:rPr>
              <w:t>We achieved a 90% answered call rate in December. There were a number of challenges throughout the month that we had to cope with. In comparison to last December call volumes increased by 2038 calls to 14069 received. We saw the highest amount of Repair calls YTD in December, mainly due to the cold weather causing issues with boilers and frozen pipes. In comparison to last December Council Tax calls increased by 521 as we saw 1988 Council Tax reminders letters sent out and 430 summons letters. There were also 2800 Single person Discount E-mails sent out checking single person status which generated call traffic. YTD (Apr-Dec) we have now received 11,416 more call this year across Council Tax, Benefits and Rents than the same period last year. This is due to an increase in council tax reminders, calls about the £150 energy rebate and chase calls about the work sitting in the backlog DIP in financial services. In addition we had 3 away day sessions with a third of our officers out at each 2 hour session. This impacted our ability to pick up calls. Encouragingly the 3 day week after Christmas we did well hitting our 93% answered call rate whilst allowing 47 days of holiday throughout this period.</w:t>
            </w:r>
          </w:p>
        </w:tc>
      </w:tr>
      <w:tr w:rsidR="009D6B97" w:rsidRPr="009D6B97" w14:paraId="23CB3F59" w14:textId="77777777" w:rsidTr="004E4A4C">
        <w:trPr>
          <w:trHeight w:val="1450"/>
        </w:trPr>
        <w:tc>
          <w:tcPr>
            <w:tcW w:w="1276" w:type="dxa"/>
            <w:tcBorders>
              <w:top w:val="nil"/>
              <w:left w:val="single" w:sz="8" w:space="0" w:color="auto"/>
              <w:bottom w:val="single" w:sz="4" w:space="0" w:color="auto"/>
              <w:right w:val="nil"/>
            </w:tcBorders>
            <w:shd w:val="clear" w:color="auto" w:fill="auto"/>
            <w:noWrap/>
            <w:hideMark/>
          </w:tcPr>
          <w:p w14:paraId="5559D5D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BI001a</w:t>
            </w:r>
          </w:p>
        </w:tc>
        <w:tc>
          <w:tcPr>
            <w:tcW w:w="3119" w:type="dxa"/>
            <w:tcBorders>
              <w:top w:val="nil"/>
              <w:left w:val="single" w:sz="8" w:space="0" w:color="auto"/>
              <w:bottom w:val="single" w:sz="4" w:space="0" w:color="auto"/>
              <w:right w:val="single" w:sz="8" w:space="0" w:color="auto"/>
            </w:tcBorders>
            <w:shd w:val="clear" w:color="auto" w:fill="auto"/>
            <w:hideMark/>
          </w:tcPr>
          <w:p w14:paraId="726DA0C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Council spend with local business (excluding ODS and OCHL)</w:t>
            </w:r>
          </w:p>
        </w:tc>
        <w:tc>
          <w:tcPr>
            <w:tcW w:w="1276" w:type="dxa"/>
            <w:tcBorders>
              <w:top w:val="nil"/>
              <w:left w:val="nil"/>
              <w:bottom w:val="single" w:sz="4" w:space="0" w:color="auto"/>
              <w:right w:val="nil"/>
            </w:tcBorders>
            <w:shd w:val="clear" w:color="auto" w:fill="auto"/>
            <w:hideMark/>
          </w:tcPr>
          <w:p w14:paraId="72BEB07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18839C1F"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218" w:type="dxa"/>
            <w:tcBorders>
              <w:top w:val="nil"/>
              <w:left w:val="nil"/>
              <w:bottom w:val="single" w:sz="4" w:space="0" w:color="auto"/>
              <w:right w:val="nil"/>
            </w:tcBorders>
            <w:shd w:val="clear" w:color="auto" w:fill="auto"/>
            <w:hideMark/>
          </w:tcPr>
          <w:p w14:paraId="0C09063D"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45</w:t>
            </w:r>
          </w:p>
        </w:tc>
        <w:tc>
          <w:tcPr>
            <w:tcW w:w="1441" w:type="dxa"/>
            <w:tcBorders>
              <w:top w:val="nil"/>
              <w:left w:val="single" w:sz="8" w:space="0" w:color="auto"/>
              <w:bottom w:val="single" w:sz="4" w:space="0" w:color="auto"/>
              <w:right w:val="single" w:sz="8" w:space="0" w:color="auto"/>
            </w:tcBorders>
            <w:shd w:val="clear" w:color="auto" w:fill="FF0000"/>
            <w:hideMark/>
          </w:tcPr>
          <w:p w14:paraId="514115BF" w14:textId="77777777" w:rsidR="009D6B97" w:rsidRPr="009D6B97" w:rsidRDefault="00176585"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32.80</w:t>
            </w:r>
          </w:p>
        </w:tc>
        <w:tc>
          <w:tcPr>
            <w:tcW w:w="6379" w:type="dxa"/>
            <w:tcBorders>
              <w:top w:val="nil"/>
              <w:left w:val="nil"/>
              <w:bottom w:val="single" w:sz="4" w:space="0" w:color="auto"/>
              <w:right w:val="single" w:sz="8" w:space="0" w:color="auto"/>
            </w:tcBorders>
            <w:shd w:val="clear" w:color="auto" w:fill="auto"/>
            <w:hideMark/>
          </w:tcPr>
          <w:p w14:paraId="48EC1415" w14:textId="77777777" w:rsidR="009D6B97" w:rsidRPr="009D6B97" w:rsidRDefault="00176585" w:rsidP="009D6B97">
            <w:pPr>
              <w:rPr>
                <w:rFonts w:ascii="Calibri" w:eastAsia="Times New Roman" w:hAnsi="Calibri" w:cs="Calibri"/>
                <w:sz w:val="22"/>
                <w:szCs w:val="22"/>
                <w:lang w:eastAsia="en-GB"/>
              </w:rPr>
            </w:pPr>
            <w:r>
              <w:rPr>
                <w:color w:val="000000"/>
                <w:sz w:val="20"/>
                <w:szCs w:val="20"/>
                <w:shd w:val="clear" w:color="auto" w:fill="FFFFFF"/>
              </w:rPr>
              <w:t>Averag</w:t>
            </w:r>
            <w:r w:rsidR="00900E14">
              <w:rPr>
                <w:color w:val="000000"/>
                <w:sz w:val="20"/>
                <w:szCs w:val="20"/>
                <w:shd w:val="clear" w:color="auto" w:fill="FFFFFF"/>
              </w:rPr>
              <w:t>e year to date actual is 37.96%</w:t>
            </w:r>
            <w:r>
              <w:rPr>
                <w:color w:val="000000"/>
                <w:sz w:val="20"/>
                <w:szCs w:val="20"/>
                <w:shd w:val="clear" w:color="auto" w:fill="FFFFFF"/>
              </w:rPr>
              <w:t xml:space="preserve">. </w:t>
            </w:r>
            <w:r w:rsidR="00900E14">
              <w:rPr>
                <w:color w:val="000000"/>
                <w:sz w:val="20"/>
                <w:szCs w:val="20"/>
                <w:shd w:val="clear" w:color="auto" w:fill="FFFFFF"/>
              </w:rPr>
              <w:t>This</w:t>
            </w:r>
            <w:r>
              <w:rPr>
                <w:color w:val="000000"/>
                <w:sz w:val="20"/>
                <w:szCs w:val="20"/>
                <w:shd w:val="clear" w:color="auto" w:fill="FFFFFF"/>
              </w:rPr>
              <w:t xml:space="preserve"> % weighting does not reflect in-direct local business spend i.e. the use of a large contractor who then uses local labour forces / suppliers.</w:t>
            </w:r>
          </w:p>
        </w:tc>
      </w:tr>
      <w:tr w:rsidR="009D6B97" w:rsidRPr="009D6B97" w14:paraId="3930EB88" w14:textId="77777777" w:rsidTr="004E4A4C">
        <w:trPr>
          <w:trHeight w:val="870"/>
        </w:trPr>
        <w:tc>
          <w:tcPr>
            <w:tcW w:w="1276" w:type="dxa"/>
            <w:tcBorders>
              <w:top w:val="nil"/>
              <w:left w:val="single" w:sz="8" w:space="0" w:color="auto"/>
              <w:bottom w:val="single" w:sz="4" w:space="0" w:color="auto"/>
              <w:right w:val="nil"/>
            </w:tcBorders>
            <w:shd w:val="clear" w:color="auto" w:fill="auto"/>
            <w:noWrap/>
            <w:hideMark/>
          </w:tcPr>
          <w:p w14:paraId="474A0B6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BI001b</w:t>
            </w:r>
          </w:p>
        </w:tc>
        <w:tc>
          <w:tcPr>
            <w:tcW w:w="3119" w:type="dxa"/>
            <w:tcBorders>
              <w:top w:val="nil"/>
              <w:left w:val="single" w:sz="8" w:space="0" w:color="auto"/>
              <w:bottom w:val="single" w:sz="4" w:space="0" w:color="auto"/>
              <w:right w:val="single" w:sz="8" w:space="0" w:color="auto"/>
            </w:tcBorders>
            <w:shd w:val="clear" w:color="auto" w:fill="auto"/>
            <w:hideMark/>
          </w:tcPr>
          <w:p w14:paraId="7EA35E1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14:paraId="5C5E11C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18" w:type="dxa"/>
            <w:tcBorders>
              <w:top w:val="nil"/>
              <w:left w:val="single" w:sz="8" w:space="0" w:color="auto"/>
              <w:bottom w:val="single" w:sz="4" w:space="0" w:color="auto"/>
              <w:right w:val="single" w:sz="8" w:space="0" w:color="auto"/>
            </w:tcBorders>
            <w:shd w:val="clear" w:color="auto" w:fill="auto"/>
            <w:hideMark/>
          </w:tcPr>
          <w:p w14:paraId="1FDD6673"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w:t>
            </w:r>
          </w:p>
        </w:tc>
        <w:tc>
          <w:tcPr>
            <w:tcW w:w="1218" w:type="dxa"/>
            <w:tcBorders>
              <w:top w:val="nil"/>
              <w:left w:val="nil"/>
              <w:bottom w:val="single" w:sz="4" w:space="0" w:color="auto"/>
              <w:right w:val="nil"/>
            </w:tcBorders>
            <w:shd w:val="clear" w:color="auto" w:fill="auto"/>
            <w:hideMark/>
          </w:tcPr>
          <w:p w14:paraId="0BB00B1E"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60</w:t>
            </w:r>
          </w:p>
        </w:tc>
        <w:tc>
          <w:tcPr>
            <w:tcW w:w="1441" w:type="dxa"/>
            <w:tcBorders>
              <w:top w:val="nil"/>
              <w:left w:val="single" w:sz="8" w:space="0" w:color="auto"/>
              <w:bottom w:val="single" w:sz="4" w:space="0" w:color="auto"/>
              <w:right w:val="single" w:sz="8" w:space="0" w:color="auto"/>
            </w:tcBorders>
            <w:shd w:val="clear" w:color="auto" w:fill="00B050"/>
            <w:hideMark/>
          </w:tcPr>
          <w:p w14:paraId="7BA7405B" w14:textId="77777777" w:rsidR="009D6B97" w:rsidRPr="009D6B97" w:rsidRDefault="00176585"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63.44</w:t>
            </w:r>
          </w:p>
        </w:tc>
        <w:tc>
          <w:tcPr>
            <w:tcW w:w="6379" w:type="dxa"/>
            <w:tcBorders>
              <w:top w:val="nil"/>
              <w:left w:val="nil"/>
              <w:bottom w:val="single" w:sz="4" w:space="0" w:color="auto"/>
              <w:right w:val="single" w:sz="8" w:space="0" w:color="auto"/>
            </w:tcBorders>
            <w:shd w:val="clear" w:color="auto" w:fill="auto"/>
            <w:hideMark/>
          </w:tcPr>
          <w:p w14:paraId="5A5CE7AE"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6678D3D1" w14:textId="77777777" w:rsidTr="004E4A4C">
        <w:trPr>
          <w:trHeight w:val="935"/>
        </w:trPr>
        <w:tc>
          <w:tcPr>
            <w:tcW w:w="1276" w:type="dxa"/>
            <w:tcBorders>
              <w:top w:val="nil"/>
              <w:left w:val="single" w:sz="8" w:space="0" w:color="auto"/>
              <w:bottom w:val="single" w:sz="4" w:space="0" w:color="auto"/>
              <w:right w:val="nil"/>
            </w:tcBorders>
            <w:shd w:val="clear" w:color="auto" w:fill="auto"/>
            <w:noWrap/>
            <w:hideMark/>
          </w:tcPr>
          <w:p w14:paraId="24C89AC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BI001c</w:t>
            </w:r>
          </w:p>
        </w:tc>
        <w:tc>
          <w:tcPr>
            <w:tcW w:w="3119" w:type="dxa"/>
            <w:tcBorders>
              <w:top w:val="nil"/>
              <w:left w:val="single" w:sz="8" w:space="0" w:color="auto"/>
              <w:bottom w:val="single" w:sz="4" w:space="0" w:color="auto"/>
              <w:right w:val="single" w:sz="8" w:space="0" w:color="auto"/>
            </w:tcBorders>
            <w:shd w:val="clear" w:color="auto" w:fill="auto"/>
            <w:hideMark/>
          </w:tcPr>
          <w:p w14:paraId="3EE653A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OCHL spend with local business</w:t>
            </w:r>
          </w:p>
        </w:tc>
        <w:tc>
          <w:tcPr>
            <w:tcW w:w="1276" w:type="dxa"/>
            <w:tcBorders>
              <w:top w:val="nil"/>
              <w:left w:val="nil"/>
              <w:bottom w:val="single" w:sz="4" w:space="0" w:color="auto"/>
              <w:right w:val="nil"/>
            </w:tcBorders>
            <w:shd w:val="clear" w:color="auto" w:fill="auto"/>
            <w:hideMark/>
          </w:tcPr>
          <w:p w14:paraId="25241093"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739CA83F"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218" w:type="dxa"/>
            <w:tcBorders>
              <w:top w:val="nil"/>
              <w:left w:val="nil"/>
              <w:bottom w:val="single" w:sz="4" w:space="0" w:color="auto"/>
              <w:right w:val="nil"/>
            </w:tcBorders>
            <w:shd w:val="clear" w:color="auto" w:fill="auto"/>
            <w:hideMark/>
          </w:tcPr>
          <w:p w14:paraId="5BEF78B7"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10</w:t>
            </w:r>
          </w:p>
        </w:tc>
        <w:tc>
          <w:tcPr>
            <w:tcW w:w="1441" w:type="dxa"/>
            <w:tcBorders>
              <w:top w:val="nil"/>
              <w:left w:val="single" w:sz="8" w:space="0" w:color="auto"/>
              <w:bottom w:val="single" w:sz="4" w:space="0" w:color="auto"/>
              <w:right w:val="single" w:sz="8" w:space="0" w:color="auto"/>
            </w:tcBorders>
            <w:shd w:val="clear" w:color="auto" w:fill="00B050"/>
            <w:hideMark/>
          </w:tcPr>
          <w:p w14:paraId="0CF6D9D4" w14:textId="77777777" w:rsidR="009D6B97" w:rsidRPr="009D6B97" w:rsidRDefault="00176585"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13.97</w:t>
            </w:r>
          </w:p>
        </w:tc>
        <w:tc>
          <w:tcPr>
            <w:tcW w:w="6379" w:type="dxa"/>
            <w:tcBorders>
              <w:top w:val="nil"/>
              <w:left w:val="nil"/>
              <w:bottom w:val="single" w:sz="4" w:space="0" w:color="auto"/>
              <w:right w:val="single" w:sz="8" w:space="0" w:color="auto"/>
            </w:tcBorders>
            <w:shd w:val="clear" w:color="auto" w:fill="auto"/>
            <w:hideMark/>
          </w:tcPr>
          <w:p w14:paraId="750F4938" w14:textId="77777777" w:rsidR="009D6B97" w:rsidRPr="009D6B97" w:rsidRDefault="00176585" w:rsidP="009D6B97">
            <w:pPr>
              <w:rPr>
                <w:rFonts w:ascii="Calibri" w:eastAsia="Times New Roman" w:hAnsi="Calibri" w:cs="Calibri"/>
                <w:sz w:val="22"/>
                <w:szCs w:val="22"/>
                <w:lang w:eastAsia="en-GB"/>
              </w:rPr>
            </w:pPr>
            <w:r>
              <w:rPr>
                <w:color w:val="000000"/>
                <w:sz w:val="20"/>
                <w:szCs w:val="20"/>
                <w:shd w:val="clear" w:color="auto" w:fill="FFFFFF"/>
              </w:rPr>
              <w:t>On target.</w:t>
            </w:r>
          </w:p>
        </w:tc>
      </w:tr>
      <w:tr w:rsidR="009D6B97" w:rsidRPr="009D6B97" w14:paraId="3CA32106"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4462D71C"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14:paraId="1EE3336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14:paraId="0D36BA6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w:t>
            </w:r>
          </w:p>
        </w:tc>
        <w:tc>
          <w:tcPr>
            <w:tcW w:w="1218" w:type="dxa"/>
            <w:tcBorders>
              <w:top w:val="nil"/>
              <w:left w:val="single" w:sz="8" w:space="0" w:color="auto"/>
              <w:bottom w:val="single" w:sz="4" w:space="0" w:color="auto"/>
              <w:right w:val="single" w:sz="8" w:space="0" w:color="auto"/>
            </w:tcBorders>
            <w:shd w:val="clear" w:color="auto" w:fill="auto"/>
            <w:hideMark/>
          </w:tcPr>
          <w:p w14:paraId="079AA531"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218" w:type="dxa"/>
            <w:tcBorders>
              <w:top w:val="nil"/>
              <w:left w:val="nil"/>
              <w:bottom w:val="single" w:sz="4" w:space="0" w:color="auto"/>
              <w:right w:val="nil"/>
            </w:tcBorders>
            <w:shd w:val="clear" w:color="auto" w:fill="auto"/>
            <w:hideMark/>
          </w:tcPr>
          <w:p w14:paraId="52C0081D"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95</w:t>
            </w:r>
          </w:p>
        </w:tc>
        <w:tc>
          <w:tcPr>
            <w:tcW w:w="1441" w:type="dxa"/>
            <w:tcBorders>
              <w:top w:val="nil"/>
              <w:left w:val="single" w:sz="8" w:space="0" w:color="auto"/>
              <w:bottom w:val="single" w:sz="4" w:space="0" w:color="auto"/>
              <w:right w:val="single" w:sz="8" w:space="0" w:color="auto"/>
            </w:tcBorders>
            <w:shd w:val="clear" w:color="auto" w:fill="FFC000"/>
            <w:hideMark/>
          </w:tcPr>
          <w:p w14:paraId="2C042D08" w14:textId="77777777" w:rsidR="009D6B97" w:rsidRPr="009D6B97" w:rsidRDefault="00176585"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88.43</w:t>
            </w:r>
          </w:p>
        </w:tc>
        <w:tc>
          <w:tcPr>
            <w:tcW w:w="6379" w:type="dxa"/>
            <w:tcBorders>
              <w:top w:val="nil"/>
              <w:left w:val="nil"/>
              <w:bottom w:val="single" w:sz="4" w:space="0" w:color="auto"/>
              <w:right w:val="single" w:sz="8" w:space="0" w:color="auto"/>
            </w:tcBorders>
            <w:shd w:val="clear" w:color="auto" w:fill="auto"/>
            <w:hideMark/>
          </w:tcPr>
          <w:p w14:paraId="37406658" w14:textId="683591CC"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485ED0">
              <w:rPr>
                <w:color w:val="000000"/>
                <w:sz w:val="20"/>
                <w:szCs w:val="20"/>
                <w:shd w:val="clear" w:color="auto" w:fill="FFFFFF"/>
              </w:rPr>
              <w:t>Possibly</w:t>
            </w:r>
            <w:r w:rsidR="00176585">
              <w:rPr>
                <w:color w:val="000000"/>
                <w:sz w:val="20"/>
                <w:szCs w:val="20"/>
                <w:shd w:val="clear" w:color="auto" w:fill="FFFFFF"/>
              </w:rPr>
              <w:t xml:space="preserve"> a Christmas clear out by colleagues</w:t>
            </w:r>
            <w:r w:rsidR="004E4A4C">
              <w:rPr>
                <w:color w:val="000000"/>
                <w:sz w:val="20"/>
                <w:szCs w:val="20"/>
                <w:shd w:val="clear" w:color="auto" w:fill="FFFFFF"/>
              </w:rPr>
              <w:t>.</w:t>
            </w:r>
          </w:p>
        </w:tc>
      </w:tr>
      <w:tr w:rsidR="009D6B97" w:rsidRPr="009D6B97" w14:paraId="394CCEBE"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5936C1F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CS002</w:t>
            </w:r>
          </w:p>
        </w:tc>
        <w:tc>
          <w:tcPr>
            <w:tcW w:w="3119" w:type="dxa"/>
            <w:tcBorders>
              <w:top w:val="nil"/>
              <w:left w:val="single" w:sz="8" w:space="0" w:color="auto"/>
              <w:bottom w:val="single" w:sz="4" w:space="0" w:color="auto"/>
              <w:right w:val="single" w:sz="8" w:space="0" w:color="auto"/>
            </w:tcBorders>
            <w:shd w:val="clear" w:color="auto" w:fill="auto"/>
            <w:hideMark/>
          </w:tcPr>
          <w:p w14:paraId="24BBF1F4"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14:paraId="593DF39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38B68215"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8" w:type="dxa"/>
            <w:tcBorders>
              <w:top w:val="nil"/>
              <w:left w:val="nil"/>
              <w:bottom w:val="single" w:sz="4" w:space="0" w:color="auto"/>
              <w:right w:val="nil"/>
            </w:tcBorders>
            <w:shd w:val="clear" w:color="auto" w:fill="auto"/>
            <w:hideMark/>
          </w:tcPr>
          <w:p w14:paraId="4CA92922"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441" w:type="dxa"/>
            <w:tcBorders>
              <w:top w:val="nil"/>
              <w:left w:val="single" w:sz="8" w:space="0" w:color="auto"/>
              <w:bottom w:val="single" w:sz="4" w:space="0" w:color="auto"/>
              <w:right w:val="single" w:sz="8" w:space="0" w:color="auto"/>
            </w:tcBorders>
            <w:shd w:val="clear" w:color="auto" w:fill="FF0000"/>
            <w:hideMark/>
          </w:tcPr>
          <w:p w14:paraId="109BDE76"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30</w:t>
            </w:r>
          </w:p>
        </w:tc>
        <w:tc>
          <w:tcPr>
            <w:tcW w:w="6379" w:type="dxa"/>
            <w:tcBorders>
              <w:top w:val="nil"/>
              <w:left w:val="nil"/>
              <w:bottom w:val="single" w:sz="4" w:space="0" w:color="auto"/>
              <w:right w:val="single" w:sz="8" w:space="0" w:color="auto"/>
            </w:tcBorders>
            <w:shd w:val="clear" w:color="auto" w:fill="auto"/>
            <w:hideMark/>
          </w:tcPr>
          <w:p w14:paraId="46B217EE" w14:textId="77777777" w:rsidR="009D6B97" w:rsidRPr="009D6B97" w:rsidRDefault="00485ED0" w:rsidP="009D6B97">
            <w:pPr>
              <w:rPr>
                <w:rFonts w:ascii="Calibri" w:eastAsia="Times New Roman" w:hAnsi="Calibri" w:cs="Calibri"/>
                <w:sz w:val="22"/>
                <w:szCs w:val="22"/>
                <w:lang w:eastAsia="en-GB"/>
              </w:rPr>
            </w:pPr>
            <w:r>
              <w:rPr>
                <w:color w:val="000000"/>
                <w:sz w:val="20"/>
                <w:szCs w:val="20"/>
                <w:shd w:val="clear" w:color="auto" w:fill="FFFFFF"/>
              </w:rPr>
              <w:t>Still processing work from Jan 2022 following large volume of UC and ATLAS work uploaded in January following migration.</w:t>
            </w:r>
          </w:p>
        </w:tc>
      </w:tr>
      <w:tr w:rsidR="009D6B97" w:rsidRPr="009D6B97" w14:paraId="46FFA1E6"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52A41B3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14:paraId="7CB54F7E"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14:paraId="52B7834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14:paraId="6534AB16"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218" w:type="dxa"/>
            <w:tcBorders>
              <w:top w:val="nil"/>
              <w:left w:val="nil"/>
              <w:bottom w:val="single" w:sz="4" w:space="0" w:color="auto"/>
              <w:right w:val="nil"/>
            </w:tcBorders>
            <w:shd w:val="clear" w:color="auto" w:fill="auto"/>
            <w:hideMark/>
          </w:tcPr>
          <w:p w14:paraId="309458D7"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p>
        </w:tc>
        <w:tc>
          <w:tcPr>
            <w:tcW w:w="1441" w:type="dxa"/>
            <w:tcBorders>
              <w:top w:val="nil"/>
              <w:left w:val="single" w:sz="8" w:space="0" w:color="auto"/>
              <w:bottom w:val="single" w:sz="4" w:space="0" w:color="auto"/>
              <w:right w:val="single" w:sz="8" w:space="0" w:color="auto"/>
            </w:tcBorders>
            <w:shd w:val="clear" w:color="auto" w:fill="FF0000"/>
            <w:hideMark/>
          </w:tcPr>
          <w:p w14:paraId="4620EE85"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47</w:t>
            </w:r>
          </w:p>
        </w:tc>
        <w:tc>
          <w:tcPr>
            <w:tcW w:w="6379" w:type="dxa"/>
            <w:tcBorders>
              <w:top w:val="nil"/>
              <w:left w:val="nil"/>
              <w:bottom w:val="single" w:sz="4" w:space="0" w:color="auto"/>
              <w:right w:val="single" w:sz="8" w:space="0" w:color="auto"/>
            </w:tcBorders>
            <w:shd w:val="clear" w:color="auto" w:fill="auto"/>
            <w:hideMark/>
          </w:tcPr>
          <w:p w14:paraId="786B49EB" w14:textId="77777777" w:rsidR="009D6B97" w:rsidRPr="009D6B97" w:rsidRDefault="00485ED0" w:rsidP="009D6B97">
            <w:pPr>
              <w:rPr>
                <w:rFonts w:ascii="Calibri" w:eastAsia="Times New Roman" w:hAnsi="Calibri" w:cs="Calibri"/>
                <w:sz w:val="22"/>
                <w:szCs w:val="22"/>
                <w:lang w:eastAsia="en-GB"/>
              </w:rPr>
            </w:pPr>
            <w:r>
              <w:rPr>
                <w:color w:val="000000"/>
                <w:sz w:val="20"/>
                <w:szCs w:val="20"/>
                <w:shd w:val="clear" w:color="auto" w:fill="FFFFFF"/>
              </w:rPr>
              <w:t>Delays in setting up CTAX a/cs due to Revenues backlog is causing some large new claims SOPs which is skewing our new claims average SOP.</w:t>
            </w:r>
          </w:p>
        </w:tc>
      </w:tr>
      <w:tr w:rsidR="009D6B97" w:rsidRPr="009D6B97" w14:paraId="1D06E538"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32868D3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14:paraId="6EE409C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14:paraId="3D58549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18" w:type="dxa"/>
            <w:tcBorders>
              <w:top w:val="nil"/>
              <w:left w:val="single" w:sz="8" w:space="0" w:color="auto"/>
              <w:bottom w:val="single" w:sz="4" w:space="0" w:color="auto"/>
              <w:right w:val="single" w:sz="8" w:space="0" w:color="auto"/>
            </w:tcBorders>
            <w:shd w:val="clear" w:color="auto" w:fill="auto"/>
            <w:hideMark/>
          </w:tcPr>
          <w:p w14:paraId="00B0EB90"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p>
        </w:tc>
        <w:tc>
          <w:tcPr>
            <w:tcW w:w="1218" w:type="dxa"/>
            <w:tcBorders>
              <w:top w:val="nil"/>
              <w:left w:val="nil"/>
              <w:bottom w:val="single" w:sz="4" w:space="0" w:color="auto"/>
              <w:right w:val="nil"/>
            </w:tcBorders>
            <w:shd w:val="clear" w:color="auto" w:fill="auto"/>
            <w:hideMark/>
          </w:tcPr>
          <w:p w14:paraId="1E499F39" w14:textId="77777777" w:rsidR="009D6B97" w:rsidRPr="009D6B97" w:rsidRDefault="006557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p>
        </w:tc>
        <w:tc>
          <w:tcPr>
            <w:tcW w:w="1441" w:type="dxa"/>
            <w:tcBorders>
              <w:top w:val="nil"/>
              <w:left w:val="single" w:sz="8" w:space="0" w:color="auto"/>
              <w:bottom w:val="single" w:sz="4" w:space="0" w:color="auto"/>
              <w:right w:val="single" w:sz="8" w:space="0" w:color="auto"/>
            </w:tcBorders>
            <w:shd w:val="clear" w:color="auto" w:fill="00B050"/>
            <w:hideMark/>
          </w:tcPr>
          <w:p w14:paraId="096E121F"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0.002</w:t>
            </w:r>
          </w:p>
        </w:tc>
        <w:tc>
          <w:tcPr>
            <w:tcW w:w="6379" w:type="dxa"/>
            <w:tcBorders>
              <w:top w:val="nil"/>
              <w:left w:val="nil"/>
              <w:bottom w:val="single" w:sz="4" w:space="0" w:color="auto"/>
              <w:right w:val="single" w:sz="8" w:space="0" w:color="auto"/>
            </w:tcBorders>
            <w:shd w:val="clear" w:color="auto" w:fill="auto"/>
            <w:hideMark/>
          </w:tcPr>
          <w:p w14:paraId="5EB9E80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33F0E8F1"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2C94459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14:paraId="4F3ED78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14:paraId="38DEFA7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5D3B3EFB"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w:t>
            </w:r>
          </w:p>
        </w:tc>
        <w:tc>
          <w:tcPr>
            <w:tcW w:w="1218" w:type="dxa"/>
            <w:tcBorders>
              <w:top w:val="nil"/>
              <w:left w:val="nil"/>
              <w:bottom w:val="single" w:sz="4" w:space="0" w:color="auto"/>
              <w:right w:val="nil"/>
            </w:tcBorders>
            <w:shd w:val="clear" w:color="auto" w:fill="auto"/>
            <w:hideMark/>
          </w:tcPr>
          <w:p w14:paraId="44EC1347" w14:textId="77777777" w:rsidR="009D6B97" w:rsidRPr="009D6B97" w:rsidRDefault="008F56D7"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00485ED0">
              <w:rPr>
                <w:rFonts w:ascii="Calibri" w:eastAsia="Times New Roman" w:hAnsi="Calibri" w:cs="Calibri"/>
                <w:sz w:val="22"/>
                <w:szCs w:val="22"/>
                <w:lang w:eastAsia="en-GB"/>
              </w:rPr>
              <w:t>150,000</w:t>
            </w:r>
          </w:p>
        </w:tc>
        <w:tc>
          <w:tcPr>
            <w:tcW w:w="1441" w:type="dxa"/>
            <w:tcBorders>
              <w:top w:val="nil"/>
              <w:left w:val="single" w:sz="8" w:space="0" w:color="auto"/>
              <w:bottom w:val="single" w:sz="4" w:space="0" w:color="auto"/>
              <w:right w:val="single" w:sz="8" w:space="0" w:color="auto"/>
            </w:tcBorders>
            <w:shd w:val="clear" w:color="auto" w:fill="FF0000"/>
            <w:hideMark/>
          </w:tcPr>
          <w:p w14:paraId="2FAC5A71" w14:textId="77777777" w:rsidR="009D6B97" w:rsidRPr="009D6B97" w:rsidRDefault="00485ED0" w:rsidP="00176585">
            <w:pPr>
              <w:rPr>
                <w:rFonts w:ascii="Calibri" w:eastAsia="Times New Roman" w:hAnsi="Calibri" w:cs="Calibri"/>
                <w:sz w:val="22"/>
                <w:szCs w:val="22"/>
                <w:lang w:eastAsia="en-GB"/>
              </w:rPr>
            </w:pPr>
            <w:r>
              <w:rPr>
                <w:rFonts w:ascii="Calibri" w:eastAsia="Times New Roman" w:hAnsi="Calibri" w:cs="Calibri"/>
                <w:sz w:val="22"/>
                <w:szCs w:val="22"/>
                <w:lang w:eastAsia="en-GB"/>
              </w:rPr>
              <w:t>£122,906</w:t>
            </w:r>
          </w:p>
        </w:tc>
        <w:tc>
          <w:tcPr>
            <w:tcW w:w="6379" w:type="dxa"/>
            <w:tcBorders>
              <w:top w:val="nil"/>
              <w:left w:val="nil"/>
              <w:bottom w:val="single" w:sz="4" w:space="0" w:color="auto"/>
              <w:right w:val="single" w:sz="8" w:space="0" w:color="auto"/>
            </w:tcBorders>
            <w:shd w:val="clear" w:color="auto" w:fill="auto"/>
            <w:hideMark/>
          </w:tcPr>
          <w:p w14:paraId="02167E1E" w14:textId="77777777" w:rsidR="009D6B97" w:rsidRPr="009D6B97" w:rsidRDefault="00485ED0" w:rsidP="009D6B97">
            <w:pPr>
              <w:rPr>
                <w:rFonts w:ascii="Calibri" w:eastAsia="Times New Roman" w:hAnsi="Calibri" w:cs="Calibri"/>
                <w:sz w:val="22"/>
                <w:szCs w:val="22"/>
                <w:lang w:eastAsia="en-GB"/>
              </w:rPr>
            </w:pPr>
            <w:r>
              <w:rPr>
                <w:color w:val="000000"/>
                <w:sz w:val="20"/>
                <w:szCs w:val="20"/>
                <w:shd w:val="clear" w:color="auto" w:fill="FFFFFF"/>
              </w:rPr>
              <w:t>Marginally behind but forecasted to exceed target by approximately £30k by end of financial year.</w:t>
            </w:r>
          </w:p>
        </w:tc>
      </w:tr>
      <w:tr w:rsidR="009D6B97" w:rsidRPr="009D6B97" w14:paraId="694A553B" w14:textId="77777777" w:rsidTr="004E4A4C">
        <w:trPr>
          <w:trHeight w:val="580"/>
        </w:trPr>
        <w:tc>
          <w:tcPr>
            <w:tcW w:w="1276" w:type="dxa"/>
            <w:tcBorders>
              <w:top w:val="nil"/>
              <w:left w:val="single" w:sz="8" w:space="0" w:color="auto"/>
              <w:bottom w:val="single" w:sz="4" w:space="0" w:color="auto"/>
              <w:right w:val="nil"/>
            </w:tcBorders>
            <w:shd w:val="clear" w:color="auto" w:fill="auto"/>
            <w:noWrap/>
            <w:hideMark/>
          </w:tcPr>
          <w:p w14:paraId="3C25273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14:paraId="785D51C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14:paraId="2F17040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14:paraId="21016392"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£2,000,000</w:t>
            </w:r>
          </w:p>
        </w:tc>
        <w:tc>
          <w:tcPr>
            <w:tcW w:w="1218" w:type="dxa"/>
            <w:tcBorders>
              <w:top w:val="nil"/>
              <w:left w:val="nil"/>
              <w:bottom w:val="single" w:sz="4" w:space="0" w:color="auto"/>
              <w:right w:val="nil"/>
            </w:tcBorders>
            <w:shd w:val="clear" w:color="auto" w:fill="auto"/>
            <w:hideMark/>
          </w:tcPr>
          <w:p w14:paraId="4D559D46" w14:textId="77777777" w:rsidR="009D6B97" w:rsidRPr="009D6B97" w:rsidRDefault="008F56D7"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00485ED0">
              <w:rPr>
                <w:rFonts w:ascii="Calibri" w:eastAsia="Times New Roman" w:hAnsi="Calibri" w:cs="Calibri"/>
                <w:sz w:val="22"/>
                <w:szCs w:val="22"/>
                <w:lang w:eastAsia="en-GB"/>
              </w:rPr>
              <w:t>1,500,000</w:t>
            </w:r>
          </w:p>
        </w:tc>
        <w:tc>
          <w:tcPr>
            <w:tcW w:w="1441" w:type="dxa"/>
            <w:tcBorders>
              <w:top w:val="nil"/>
              <w:left w:val="single" w:sz="8" w:space="0" w:color="auto"/>
              <w:bottom w:val="single" w:sz="4" w:space="0" w:color="auto"/>
              <w:right w:val="single" w:sz="8" w:space="0" w:color="auto"/>
            </w:tcBorders>
            <w:shd w:val="clear" w:color="auto" w:fill="00B050"/>
            <w:hideMark/>
          </w:tcPr>
          <w:p w14:paraId="687F59F9"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£3,447,392</w:t>
            </w:r>
          </w:p>
        </w:tc>
        <w:tc>
          <w:tcPr>
            <w:tcW w:w="6379" w:type="dxa"/>
            <w:tcBorders>
              <w:top w:val="nil"/>
              <w:left w:val="nil"/>
              <w:bottom w:val="single" w:sz="4" w:space="0" w:color="auto"/>
              <w:right w:val="single" w:sz="8" w:space="0" w:color="auto"/>
            </w:tcBorders>
            <w:shd w:val="clear" w:color="auto" w:fill="auto"/>
            <w:hideMark/>
          </w:tcPr>
          <w:p w14:paraId="78AB9399" w14:textId="77777777" w:rsidR="009D6B97" w:rsidRPr="009D6B97" w:rsidRDefault="00485ED0" w:rsidP="009D6B97">
            <w:pPr>
              <w:rPr>
                <w:rFonts w:ascii="Calibri" w:eastAsia="Times New Roman" w:hAnsi="Calibri" w:cs="Calibri"/>
                <w:sz w:val="22"/>
                <w:szCs w:val="22"/>
                <w:lang w:eastAsia="en-GB"/>
              </w:rPr>
            </w:pPr>
            <w:r>
              <w:rPr>
                <w:color w:val="000000"/>
                <w:sz w:val="20"/>
                <w:szCs w:val="20"/>
                <w:shd w:val="clear" w:color="auto" w:fill="FFFFFF"/>
              </w:rPr>
              <w:t>172% of target achieved.</w:t>
            </w:r>
          </w:p>
        </w:tc>
      </w:tr>
      <w:tr w:rsidR="009D6B97" w:rsidRPr="009D6B97" w14:paraId="79B8286F" w14:textId="77777777" w:rsidTr="004E4A4C">
        <w:trPr>
          <w:trHeight w:val="694"/>
        </w:trPr>
        <w:tc>
          <w:tcPr>
            <w:tcW w:w="1276" w:type="dxa"/>
            <w:tcBorders>
              <w:top w:val="nil"/>
              <w:left w:val="single" w:sz="8" w:space="0" w:color="auto"/>
              <w:bottom w:val="single" w:sz="4" w:space="0" w:color="auto"/>
              <w:right w:val="nil"/>
            </w:tcBorders>
            <w:shd w:val="clear" w:color="auto" w:fill="auto"/>
            <w:noWrap/>
            <w:hideMark/>
          </w:tcPr>
          <w:p w14:paraId="63B4B3F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14:paraId="2669DEE8"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14:paraId="469936A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14:paraId="7ED1C235" w14:textId="77777777"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218" w:type="dxa"/>
            <w:tcBorders>
              <w:top w:val="nil"/>
              <w:left w:val="nil"/>
              <w:bottom w:val="single" w:sz="4" w:space="0" w:color="auto"/>
              <w:right w:val="nil"/>
            </w:tcBorders>
            <w:shd w:val="clear" w:color="auto" w:fill="auto"/>
            <w:hideMark/>
          </w:tcPr>
          <w:p w14:paraId="501477E5" w14:textId="77777777" w:rsidR="009D6B97" w:rsidRPr="009D6B97" w:rsidRDefault="00B62C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441" w:type="dxa"/>
            <w:tcBorders>
              <w:top w:val="nil"/>
              <w:left w:val="single" w:sz="8" w:space="0" w:color="auto"/>
              <w:bottom w:val="single" w:sz="4" w:space="0" w:color="auto"/>
              <w:right w:val="single" w:sz="8" w:space="0" w:color="auto"/>
            </w:tcBorders>
            <w:shd w:val="clear" w:color="auto" w:fill="FF0000"/>
            <w:hideMark/>
          </w:tcPr>
          <w:p w14:paraId="3C4863C8"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14.19</w:t>
            </w:r>
          </w:p>
        </w:tc>
        <w:tc>
          <w:tcPr>
            <w:tcW w:w="6379" w:type="dxa"/>
            <w:tcBorders>
              <w:top w:val="nil"/>
              <w:left w:val="nil"/>
              <w:bottom w:val="single" w:sz="4" w:space="0" w:color="auto"/>
              <w:right w:val="single" w:sz="8" w:space="0" w:color="auto"/>
            </w:tcBorders>
            <w:shd w:val="clear" w:color="auto" w:fill="auto"/>
            <w:hideMark/>
          </w:tcPr>
          <w:p w14:paraId="4028D675" w14:textId="77777777" w:rsidR="009D6B97" w:rsidRPr="009D6B97" w:rsidRDefault="00485ED0" w:rsidP="009D6B97">
            <w:pPr>
              <w:rPr>
                <w:rFonts w:ascii="Calibri" w:eastAsia="Times New Roman" w:hAnsi="Calibri" w:cs="Calibri"/>
                <w:sz w:val="22"/>
                <w:szCs w:val="22"/>
                <w:lang w:eastAsia="en-GB"/>
              </w:rPr>
            </w:pPr>
            <w:r>
              <w:rPr>
                <w:color w:val="000000"/>
                <w:sz w:val="20"/>
                <w:szCs w:val="20"/>
                <w:shd w:val="clear" w:color="auto" w:fill="FFFFFF"/>
              </w:rPr>
              <w:t>Average year to date actual is 33.80% and almost on target.</w:t>
            </w:r>
          </w:p>
        </w:tc>
      </w:tr>
      <w:tr w:rsidR="009D6B97" w:rsidRPr="009D6B97" w14:paraId="667F6F30" w14:textId="77777777" w:rsidTr="004E4A4C">
        <w:trPr>
          <w:trHeight w:val="680"/>
        </w:trPr>
        <w:tc>
          <w:tcPr>
            <w:tcW w:w="1276" w:type="dxa"/>
            <w:tcBorders>
              <w:top w:val="nil"/>
              <w:left w:val="single" w:sz="8" w:space="0" w:color="auto"/>
              <w:bottom w:val="single" w:sz="4" w:space="0" w:color="auto"/>
              <w:right w:val="nil"/>
            </w:tcBorders>
            <w:shd w:val="clear" w:color="auto" w:fill="auto"/>
            <w:noWrap/>
            <w:vAlign w:val="center"/>
            <w:hideMark/>
          </w:tcPr>
          <w:p w14:paraId="28F413AD"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36A3964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14:paraId="3CCA32F6"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3411CE2D" w14:textId="77777777"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96.5</w:t>
            </w:r>
          </w:p>
        </w:tc>
        <w:tc>
          <w:tcPr>
            <w:tcW w:w="1218" w:type="dxa"/>
            <w:tcBorders>
              <w:top w:val="nil"/>
              <w:left w:val="nil"/>
              <w:bottom w:val="single" w:sz="4" w:space="0" w:color="auto"/>
              <w:right w:val="nil"/>
            </w:tcBorders>
            <w:shd w:val="clear" w:color="auto" w:fill="auto"/>
            <w:noWrap/>
            <w:vAlign w:val="center"/>
            <w:hideMark/>
          </w:tcPr>
          <w:p w14:paraId="2A1F60C7"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56</w:t>
            </w:r>
          </w:p>
        </w:tc>
        <w:tc>
          <w:tcPr>
            <w:tcW w:w="1441" w:type="dxa"/>
            <w:tcBorders>
              <w:top w:val="nil"/>
              <w:left w:val="single" w:sz="8" w:space="0" w:color="auto"/>
              <w:bottom w:val="single" w:sz="4" w:space="0" w:color="auto"/>
              <w:right w:val="single" w:sz="8" w:space="0" w:color="auto"/>
            </w:tcBorders>
            <w:shd w:val="clear" w:color="auto" w:fill="FF0000"/>
            <w:vAlign w:val="center"/>
            <w:hideMark/>
          </w:tcPr>
          <w:p w14:paraId="10D07043"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80.82%</w:t>
            </w:r>
          </w:p>
        </w:tc>
        <w:tc>
          <w:tcPr>
            <w:tcW w:w="6379" w:type="dxa"/>
            <w:tcBorders>
              <w:top w:val="nil"/>
              <w:left w:val="nil"/>
              <w:bottom w:val="single" w:sz="4" w:space="0" w:color="auto"/>
              <w:right w:val="single" w:sz="8" w:space="0" w:color="auto"/>
            </w:tcBorders>
            <w:shd w:val="clear" w:color="auto" w:fill="auto"/>
            <w:hideMark/>
          </w:tcPr>
          <w:p w14:paraId="276F7622" w14:textId="77777777" w:rsidR="009D6B97" w:rsidRDefault="009D6B97" w:rsidP="00176585">
            <w:pPr>
              <w:rPr>
                <w:color w:val="000000"/>
                <w:sz w:val="20"/>
                <w:szCs w:val="20"/>
                <w:shd w:val="clear" w:color="auto" w:fill="FFFFFF"/>
              </w:rPr>
            </w:pPr>
            <w:r w:rsidRPr="009D6B97">
              <w:rPr>
                <w:rFonts w:ascii="Calibri" w:eastAsia="Times New Roman" w:hAnsi="Calibri" w:cs="Calibri"/>
                <w:sz w:val="22"/>
                <w:szCs w:val="22"/>
                <w:lang w:eastAsia="en-GB"/>
              </w:rPr>
              <w:t> </w:t>
            </w:r>
            <w:r w:rsidR="006D574C">
              <w:rPr>
                <w:color w:val="000000"/>
                <w:sz w:val="20"/>
                <w:szCs w:val="20"/>
                <w:shd w:val="clear" w:color="auto" w:fill="FFFFFF"/>
              </w:rPr>
              <w:t>The profiled target should be 83.5%</w:t>
            </w:r>
          </w:p>
          <w:p w14:paraId="7A13CE3D" w14:textId="77777777" w:rsidR="00E508F8" w:rsidRDefault="00E508F8" w:rsidP="00176585">
            <w:pPr>
              <w:rPr>
                <w:color w:val="000000"/>
                <w:sz w:val="20"/>
                <w:szCs w:val="20"/>
                <w:shd w:val="clear" w:color="auto" w:fill="FFFFFF"/>
              </w:rPr>
            </w:pPr>
          </w:p>
          <w:p w14:paraId="64DBFCD5" w14:textId="77777777" w:rsidR="00E508F8" w:rsidRPr="009D6B97" w:rsidRDefault="00E508F8" w:rsidP="00176585">
            <w:pPr>
              <w:rPr>
                <w:rFonts w:ascii="Calibri" w:eastAsia="Times New Roman" w:hAnsi="Calibri" w:cs="Calibri"/>
                <w:sz w:val="22"/>
                <w:szCs w:val="22"/>
                <w:lang w:eastAsia="en-GB"/>
              </w:rPr>
            </w:pPr>
            <w:r>
              <w:rPr>
                <w:color w:val="000000"/>
                <w:sz w:val="20"/>
                <w:szCs w:val="20"/>
                <w:shd w:val="clear" w:color="auto" w:fill="FFFFFF"/>
              </w:rPr>
              <w:t>The formal recovery process via the magistrate’s court recommences on the 27th January with fortnightly hearings, work continues to apply the student exemptions and to arrange payment from the housing team of the Council tax outstanding.</w:t>
            </w:r>
          </w:p>
        </w:tc>
      </w:tr>
      <w:tr w:rsidR="009D6B97" w:rsidRPr="009D6B97" w14:paraId="426ED543" w14:textId="77777777" w:rsidTr="004E4A4C">
        <w:trPr>
          <w:trHeight w:val="740"/>
        </w:trPr>
        <w:tc>
          <w:tcPr>
            <w:tcW w:w="1276" w:type="dxa"/>
            <w:tcBorders>
              <w:top w:val="nil"/>
              <w:left w:val="single" w:sz="8" w:space="0" w:color="auto"/>
              <w:bottom w:val="single" w:sz="4" w:space="0" w:color="auto"/>
              <w:right w:val="nil"/>
            </w:tcBorders>
            <w:shd w:val="clear" w:color="auto" w:fill="auto"/>
            <w:noWrap/>
            <w:vAlign w:val="center"/>
            <w:hideMark/>
          </w:tcPr>
          <w:p w14:paraId="41D96F49"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4D8F1E1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14:paraId="0682E2CE"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6643A903" w14:textId="77777777"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218" w:type="dxa"/>
            <w:tcBorders>
              <w:top w:val="nil"/>
              <w:left w:val="nil"/>
              <w:bottom w:val="single" w:sz="4" w:space="0" w:color="auto"/>
              <w:right w:val="nil"/>
            </w:tcBorders>
            <w:shd w:val="clear" w:color="auto" w:fill="auto"/>
            <w:noWrap/>
            <w:vAlign w:val="center"/>
            <w:hideMark/>
          </w:tcPr>
          <w:p w14:paraId="4CB7D06D"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53</w:t>
            </w:r>
          </w:p>
        </w:tc>
        <w:tc>
          <w:tcPr>
            <w:tcW w:w="1441" w:type="dxa"/>
            <w:tcBorders>
              <w:top w:val="nil"/>
              <w:left w:val="single" w:sz="8" w:space="0" w:color="auto"/>
              <w:bottom w:val="single" w:sz="4" w:space="0" w:color="auto"/>
              <w:right w:val="single" w:sz="8" w:space="0" w:color="auto"/>
            </w:tcBorders>
            <w:shd w:val="clear" w:color="auto" w:fill="FF0000"/>
            <w:vAlign w:val="center"/>
            <w:hideMark/>
          </w:tcPr>
          <w:p w14:paraId="42C3B47F" w14:textId="77777777" w:rsidR="009D6B97" w:rsidRPr="009D6B97" w:rsidRDefault="006D574C" w:rsidP="00176585">
            <w:pPr>
              <w:rPr>
                <w:rFonts w:ascii="Calibri" w:eastAsia="Times New Roman" w:hAnsi="Calibri" w:cs="Calibri"/>
                <w:sz w:val="22"/>
                <w:szCs w:val="22"/>
                <w:lang w:eastAsia="en-GB"/>
              </w:rPr>
            </w:pPr>
            <w:r>
              <w:rPr>
                <w:rFonts w:ascii="Calibri" w:eastAsia="Times New Roman" w:hAnsi="Calibri" w:cs="Calibri"/>
                <w:sz w:val="22"/>
                <w:szCs w:val="22"/>
                <w:lang w:eastAsia="en-GB"/>
              </w:rPr>
              <w:t>76.15%</w:t>
            </w:r>
          </w:p>
        </w:tc>
        <w:tc>
          <w:tcPr>
            <w:tcW w:w="6379" w:type="dxa"/>
            <w:tcBorders>
              <w:top w:val="nil"/>
              <w:left w:val="nil"/>
              <w:bottom w:val="single" w:sz="4" w:space="0" w:color="auto"/>
              <w:right w:val="single" w:sz="8" w:space="0" w:color="auto"/>
            </w:tcBorders>
            <w:shd w:val="clear" w:color="auto" w:fill="auto"/>
            <w:hideMark/>
          </w:tcPr>
          <w:p w14:paraId="68F0503D" w14:textId="77777777" w:rsidR="009D6B97" w:rsidRDefault="00900E14" w:rsidP="00176585">
            <w:pPr>
              <w:rPr>
                <w:color w:val="000000"/>
                <w:sz w:val="20"/>
                <w:szCs w:val="20"/>
                <w:shd w:val="clear" w:color="auto" w:fill="FFFFFF"/>
              </w:rPr>
            </w:pPr>
            <w:r>
              <w:rPr>
                <w:rFonts w:ascii="Calibri" w:eastAsia="Times New Roman" w:hAnsi="Calibri" w:cs="Calibri"/>
                <w:sz w:val="22"/>
                <w:szCs w:val="22"/>
                <w:lang w:eastAsia="en-GB"/>
              </w:rPr>
              <w:t>T</w:t>
            </w:r>
            <w:r w:rsidR="006D574C">
              <w:rPr>
                <w:color w:val="000000"/>
                <w:sz w:val="20"/>
                <w:szCs w:val="20"/>
                <w:shd w:val="clear" w:color="auto" w:fill="FFFFFF"/>
              </w:rPr>
              <w:t>he profiled target is 79.70%</w:t>
            </w:r>
            <w:r>
              <w:rPr>
                <w:color w:val="000000"/>
                <w:sz w:val="20"/>
                <w:szCs w:val="20"/>
                <w:shd w:val="clear" w:color="auto" w:fill="FFFFFF"/>
              </w:rPr>
              <w:t>.</w:t>
            </w:r>
          </w:p>
          <w:p w14:paraId="664327C6" w14:textId="77777777" w:rsidR="00E508F8" w:rsidRDefault="00E508F8" w:rsidP="00176585">
            <w:pPr>
              <w:rPr>
                <w:color w:val="000000"/>
                <w:sz w:val="20"/>
                <w:szCs w:val="20"/>
                <w:shd w:val="clear" w:color="auto" w:fill="FFFFFF"/>
              </w:rPr>
            </w:pPr>
          </w:p>
          <w:p w14:paraId="3959BB2F" w14:textId="77777777" w:rsidR="00E508F8" w:rsidRPr="009D6B97" w:rsidRDefault="00E508F8" w:rsidP="00176585">
            <w:pPr>
              <w:rPr>
                <w:rFonts w:ascii="Calibri" w:eastAsia="Times New Roman" w:hAnsi="Calibri" w:cs="Calibri"/>
                <w:sz w:val="22"/>
                <w:szCs w:val="22"/>
                <w:lang w:eastAsia="en-GB"/>
              </w:rPr>
            </w:pPr>
            <w:r>
              <w:rPr>
                <w:color w:val="000000"/>
                <w:sz w:val="20"/>
                <w:szCs w:val="20"/>
                <w:shd w:val="clear" w:color="auto" w:fill="FFFFFF"/>
              </w:rPr>
              <w:t>Collection of NDR remains difficult in the cost of living crisis, this has been made more difficult as we have only recently been able to commence formal recovery action following the revenues system changes. Many account have CARF awards on the 21/22 accounts which could be moved onto the current tear we have written to the customers asking permission to do so.</w:t>
            </w:r>
          </w:p>
        </w:tc>
      </w:tr>
      <w:tr w:rsidR="00984574" w:rsidRPr="009D6B97" w14:paraId="716DA319" w14:textId="77777777" w:rsidTr="004E4A4C">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14:paraId="30F8475A"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3FD623A2"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14:paraId="1521D2D3"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 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DA19B61" w14:textId="77777777"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218" w:type="dxa"/>
            <w:tcBorders>
              <w:top w:val="nil"/>
              <w:left w:val="nil"/>
              <w:bottom w:val="single" w:sz="4" w:space="0" w:color="auto"/>
              <w:right w:val="nil"/>
            </w:tcBorders>
            <w:shd w:val="clear" w:color="auto" w:fill="auto"/>
            <w:noWrap/>
            <w:vAlign w:val="center"/>
            <w:hideMark/>
          </w:tcPr>
          <w:p w14:paraId="4BD2B0F4" w14:textId="77777777"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w:t>
            </w:r>
          </w:p>
        </w:tc>
        <w:tc>
          <w:tcPr>
            <w:tcW w:w="1441" w:type="dxa"/>
            <w:tcBorders>
              <w:top w:val="nil"/>
              <w:left w:val="single" w:sz="8" w:space="0" w:color="auto"/>
              <w:bottom w:val="single" w:sz="4" w:space="0" w:color="auto"/>
              <w:right w:val="single" w:sz="8" w:space="0" w:color="auto"/>
            </w:tcBorders>
            <w:shd w:val="clear" w:color="auto" w:fill="auto"/>
            <w:vAlign w:val="center"/>
            <w:hideMark/>
          </w:tcPr>
          <w:p w14:paraId="6CDB5CE0" w14:textId="77777777" w:rsidR="00984574" w:rsidRPr="009D6B97" w:rsidRDefault="006D574C" w:rsidP="008B4275">
            <w:pPr>
              <w:jc w:val="center"/>
              <w:rPr>
                <w:rFonts w:ascii="Calibri" w:eastAsia="Times New Roman" w:hAnsi="Calibri" w:cs="Calibri"/>
                <w:sz w:val="22"/>
                <w:szCs w:val="22"/>
                <w:lang w:eastAsia="en-GB"/>
              </w:rPr>
            </w:pPr>
            <w:r>
              <w:rPr>
                <w:color w:val="000000"/>
                <w:sz w:val="20"/>
                <w:szCs w:val="20"/>
                <w:shd w:val="clear" w:color="auto" w:fill="FFFFFF"/>
              </w:rPr>
              <w:t>No know discretionary funding received in year</w:t>
            </w:r>
          </w:p>
        </w:tc>
        <w:tc>
          <w:tcPr>
            <w:tcW w:w="6379" w:type="dxa"/>
            <w:tcBorders>
              <w:top w:val="nil"/>
              <w:left w:val="nil"/>
              <w:bottom w:val="single" w:sz="4" w:space="0" w:color="auto"/>
              <w:right w:val="single" w:sz="8" w:space="0" w:color="auto"/>
            </w:tcBorders>
            <w:shd w:val="clear" w:color="auto" w:fill="auto"/>
            <w:vAlign w:val="center"/>
            <w:hideMark/>
          </w:tcPr>
          <w:p w14:paraId="3686EE38" w14:textId="77777777" w:rsidR="00984574" w:rsidRPr="009D6B97" w:rsidRDefault="00984574" w:rsidP="00176585">
            <w:pPr>
              <w:rPr>
                <w:rFonts w:ascii="Calibri" w:eastAsia="Times New Roman" w:hAnsi="Calibri" w:cs="Calibri"/>
                <w:sz w:val="22"/>
                <w:szCs w:val="22"/>
                <w:lang w:eastAsia="en-GB"/>
              </w:rPr>
            </w:pPr>
          </w:p>
        </w:tc>
      </w:tr>
      <w:tr w:rsidR="00B10C79" w:rsidRPr="009D6B97" w14:paraId="6CD49462" w14:textId="77777777" w:rsidTr="004E4A4C">
        <w:trPr>
          <w:trHeight w:val="870"/>
        </w:trPr>
        <w:tc>
          <w:tcPr>
            <w:tcW w:w="1276" w:type="dxa"/>
            <w:tcBorders>
              <w:top w:val="nil"/>
              <w:left w:val="single" w:sz="8" w:space="0" w:color="auto"/>
              <w:bottom w:val="single" w:sz="4" w:space="0" w:color="auto"/>
              <w:right w:val="nil"/>
            </w:tcBorders>
            <w:shd w:val="clear" w:color="auto" w:fill="auto"/>
            <w:noWrap/>
            <w:hideMark/>
          </w:tcPr>
          <w:p w14:paraId="1616DE3C"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LG006</w:t>
            </w:r>
          </w:p>
        </w:tc>
        <w:tc>
          <w:tcPr>
            <w:tcW w:w="3119" w:type="dxa"/>
            <w:tcBorders>
              <w:top w:val="nil"/>
              <w:left w:val="single" w:sz="8" w:space="0" w:color="auto"/>
              <w:bottom w:val="single" w:sz="4" w:space="0" w:color="auto"/>
              <w:right w:val="single" w:sz="8" w:space="0" w:color="auto"/>
            </w:tcBorders>
            <w:shd w:val="clear" w:color="auto" w:fill="auto"/>
            <w:hideMark/>
          </w:tcPr>
          <w:p w14:paraId="065869DC"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missed Data Subject Action Request deadlines</w:t>
            </w:r>
          </w:p>
        </w:tc>
        <w:tc>
          <w:tcPr>
            <w:tcW w:w="1276" w:type="dxa"/>
            <w:tcBorders>
              <w:top w:val="nil"/>
              <w:left w:val="nil"/>
              <w:bottom w:val="single" w:sz="4" w:space="0" w:color="auto"/>
              <w:right w:val="nil"/>
            </w:tcBorders>
            <w:shd w:val="clear" w:color="auto" w:fill="auto"/>
            <w:hideMark/>
          </w:tcPr>
          <w:p w14:paraId="08E1CA08"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Grace Wigham</w:t>
            </w:r>
          </w:p>
        </w:tc>
        <w:tc>
          <w:tcPr>
            <w:tcW w:w="1218" w:type="dxa"/>
            <w:tcBorders>
              <w:top w:val="nil"/>
              <w:left w:val="single" w:sz="8" w:space="0" w:color="auto"/>
              <w:bottom w:val="single" w:sz="4" w:space="0" w:color="auto"/>
              <w:right w:val="single" w:sz="8" w:space="0" w:color="auto"/>
            </w:tcBorders>
            <w:shd w:val="clear" w:color="auto" w:fill="auto"/>
            <w:hideMark/>
          </w:tcPr>
          <w:p w14:paraId="591055B8" w14:textId="77777777"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218" w:type="dxa"/>
            <w:tcBorders>
              <w:top w:val="nil"/>
              <w:left w:val="nil"/>
              <w:bottom w:val="single" w:sz="4" w:space="0" w:color="auto"/>
              <w:right w:val="nil"/>
            </w:tcBorders>
            <w:shd w:val="clear" w:color="auto" w:fill="auto"/>
            <w:hideMark/>
          </w:tcPr>
          <w:p w14:paraId="62B55240" w14:textId="77777777" w:rsidR="00B10C79" w:rsidRPr="009D6B97" w:rsidRDefault="004D3903"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441" w:type="dxa"/>
            <w:tcBorders>
              <w:top w:val="nil"/>
              <w:left w:val="single" w:sz="8" w:space="0" w:color="auto"/>
              <w:bottom w:val="single" w:sz="4" w:space="0" w:color="auto"/>
              <w:right w:val="single" w:sz="8" w:space="0" w:color="auto"/>
            </w:tcBorders>
            <w:shd w:val="clear" w:color="auto" w:fill="00B050"/>
            <w:hideMark/>
          </w:tcPr>
          <w:p w14:paraId="61215C5B" w14:textId="77777777" w:rsidR="00B10C79" w:rsidRPr="009D6B97" w:rsidRDefault="00900E14"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hideMark/>
          </w:tcPr>
          <w:p w14:paraId="57E0F99B" w14:textId="77777777" w:rsidR="00B10C79" w:rsidRPr="009D6B97" w:rsidRDefault="00B10C79" w:rsidP="008B4275">
            <w:pPr>
              <w:rPr>
                <w:rFonts w:ascii="Calibri" w:eastAsia="Times New Roman" w:hAnsi="Calibri" w:cs="Calibri"/>
                <w:sz w:val="22"/>
                <w:szCs w:val="22"/>
                <w:lang w:eastAsia="en-GB"/>
              </w:rPr>
            </w:pPr>
          </w:p>
        </w:tc>
      </w:tr>
      <w:tr w:rsidR="009D6B97" w:rsidRPr="009D6B97" w14:paraId="42149ADE" w14:textId="77777777" w:rsidTr="004E4A4C">
        <w:trPr>
          <w:trHeight w:val="290"/>
        </w:trPr>
        <w:tc>
          <w:tcPr>
            <w:tcW w:w="1276"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324D7514"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REC002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6091554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Oxford Living Wage employers and employees</w:t>
            </w:r>
          </w:p>
        </w:tc>
        <w:tc>
          <w:tcPr>
            <w:tcW w:w="1276" w:type="dxa"/>
            <w:vMerge w:val="restart"/>
            <w:tcBorders>
              <w:top w:val="nil"/>
              <w:left w:val="nil"/>
              <w:bottom w:val="single" w:sz="4" w:space="0" w:color="auto"/>
              <w:right w:val="nil"/>
            </w:tcBorders>
            <w:shd w:val="clear" w:color="auto" w:fill="auto"/>
            <w:vAlign w:val="center"/>
            <w:hideMark/>
          </w:tcPr>
          <w:p w14:paraId="428297C2"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Carolyn Ploszynski</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2704C213"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90</w:t>
            </w:r>
          </w:p>
        </w:tc>
        <w:tc>
          <w:tcPr>
            <w:tcW w:w="1218" w:type="dxa"/>
            <w:vMerge w:val="restart"/>
            <w:tcBorders>
              <w:top w:val="nil"/>
              <w:left w:val="nil"/>
              <w:bottom w:val="single" w:sz="4" w:space="0" w:color="auto"/>
              <w:right w:val="nil"/>
            </w:tcBorders>
            <w:shd w:val="clear" w:color="auto" w:fill="auto"/>
            <w:noWrap/>
            <w:vAlign w:val="center"/>
            <w:hideMark/>
          </w:tcPr>
          <w:p w14:paraId="7C960926" w14:textId="77777777" w:rsidR="009D6B97" w:rsidRPr="009D6B97" w:rsidRDefault="009B7B6E"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1441" w:type="dxa"/>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14:paraId="22E9E421"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103</w:t>
            </w:r>
          </w:p>
        </w:tc>
        <w:tc>
          <w:tcPr>
            <w:tcW w:w="6379" w:type="dxa"/>
            <w:vMerge w:val="restart"/>
            <w:tcBorders>
              <w:top w:val="nil"/>
              <w:left w:val="nil"/>
              <w:bottom w:val="single" w:sz="4" w:space="0" w:color="auto"/>
              <w:right w:val="single" w:sz="8" w:space="0" w:color="auto"/>
            </w:tcBorders>
            <w:shd w:val="clear" w:color="auto" w:fill="auto"/>
            <w:vAlign w:val="center"/>
            <w:hideMark/>
          </w:tcPr>
          <w:p w14:paraId="01E17A11"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14:paraId="02731F02" w14:textId="77777777" w:rsidTr="004E4A4C">
        <w:trPr>
          <w:trHeight w:val="450"/>
        </w:trPr>
        <w:tc>
          <w:tcPr>
            <w:tcW w:w="1276" w:type="dxa"/>
            <w:vMerge/>
            <w:tcBorders>
              <w:top w:val="nil"/>
              <w:left w:val="single" w:sz="8" w:space="0" w:color="auto"/>
              <w:bottom w:val="single" w:sz="4" w:space="0" w:color="000000"/>
              <w:right w:val="single" w:sz="8" w:space="0" w:color="auto"/>
            </w:tcBorders>
            <w:vAlign w:val="center"/>
            <w:hideMark/>
          </w:tcPr>
          <w:p w14:paraId="2B861570"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51F12B8C"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2C208D1A"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77D1DFDB"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4985C45A" w14:textId="77777777" w:rsidR="009D6B97" w:rsidRPr="009D6B97" w:rsidRDefault="009D6B97" w:rsidP="009D6B97">
            <w:pPr>
              <w:rPr>
                <w:rFonts w:ascii="Calibri" w:eastAsia="Times New Roman" w:hAnsi="Calibri" w:cs="Calibri"/>
                <w:sz w:val="22"/>
                <w:szCs w:val="22"/>
                <w:lang w:eastAsia="en-GB"/>
              </w:rPr>
            </w:pPr>
          </w:p>
        </w:tc>
        <w:tc>
          <w:tcPr>
            <w:tcW w:w="1441"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2BCA8AD6" w14:textId="77777777"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14:paraId="143CFAED"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33FDC868" w14:textId="77777777" w:rsidTr="004E4A4C">
        <w:trPr>
          <w:trHeight w:val="1708"/>
        </w:trPr>
        <w:tc>
          <w:tcPr>
            <w:tcW w:w="1276" w:type="dxa"/>
            <w:vMerge w:val="restart"/>
            <w:tcBorders>
              <w:top w:val="nil"/>
              <w:left w:val="single" w:sz="8" w:space="0" w:color="auto"/>
              <w:bottom w:val="single" w:sz="4" w:space="0" w:color="auto"/>
              <w:right w:val="nil"/>
            </w:tcBorders>
            <w:shd w:val="clear" w:color="auto" w:fill="auto"/>
            <w:vAlign w:val="center"/>
            <w:hideMark/>
          </w:tcPr>
          <w:p w14:paraId="1579391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668FE506" w14:textId="77777777" w:rsidR="007D5CD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14:paraId="3951F477"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Rachel Williams</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181C588B"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567</w:t>
            </w:r>
          </w:p>
        </w:tc>
        <w:tc>
          <w:tcPr>
            <w:tcW w:w="1218" w:type="dxa"/>
            <w:vMerge w:val="restart"/>
            <w:tcBorders>
              <w:top w:val="nil"/>
              <w:left w:val="nil"/>
              <w:bottom w:val="single" w:sz="4" w:space="0" w:color="auto"/>
              <w:right w:val="nil"/>
            </w:tcBorders>
            <w:shd w:val="clear" w:color="auto" w:fill="auto"/>
            <w:vAlign w:val="center"/>
            <w:hideMark/>
          </w:tcPr>
          <w:p w14:paraId="127D81C6" w14:textId="77777777" w:rsidR="009D6B97" w:rsidRPr="009D6B97" w:rsidRDefault="006D574C" w:rsidP="007D5CD7">
            <w:pPr>
              <w:rPr>
                <w:rFonts w:ascii="Calibri" w:eastAsia="Times New Roman" w:hAnsi="Calibri" w:cs="Calibri"/>
                <w:sz w:val="22"/>
                <w:szCs w:val="22"/>
                <w:lang w:eastAsia="en-GB"/>
              </w:rPr>
            </w:pPr>
            <w:r>
              <w:rPr>
                <w:rFonts w:ascii="Calibri" w:eastAsia="Times New Roman" w:hAnsi="Calibri" w:cs="Calibri"/>
                <w:sz w:val="22"/>
                <w:szCs w:val="22"/>
                <w:lang w:eastAsia="en-GB"/>
              </w:rPr>
              <w:t>284</w:t>
            </w:r>
          </w:p>
        </w:tc>
        <w:tc>
          <w:tcPr>
            <w:tcW w:w="1441" w:type="dxa"/>
            <w:vMerge w:val="restart"/>
            <w:tcBorders>
              <w:top w:val="nil"/>
              <w:left w:val="single" w:sz="8" w:space="0" w:color="auto"/>
              <w:bottom w:val="single" w:sz="4" w:space="0" w:color="auto"/>
              <w:right w:val="single" w:sz="8" w:space="0" w:color="auto"/>
            </w:tcBorders>
            <w:shd w:val="clear" w:color="auto" w:fill="FFC000"/>
            <w:vAlign w:val="center"/>
            <w:hideMark/>
          </w:tcPr>
          <w:p w14:paraId="73E84206"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250</w:t>
            </w:r>
          </w:p>
        </w:tc>
        <w:tc>
          <w:tcPr>
            <w:tcW w:w="6379" w:type="dxa"/>
            <w:tcBorders>
              <w:top w:val="nil"/>
              <w:left w:val="nil"/>
              <w:right w:val="single" w:sz="8" w:space="0" w:color="auto"/>
            </w:tcBorders>
            <w:shd w:val="clear" w:color="auto" w:fill="auto"/>
            <w:vAlign w:val="center"/>
            <w:hideMark/>
          </w:tcPr>
          <w:p w14:paraId="3039C9C1" w14:textId="77777777" w:rsidR="009D6B97" w:rsidRPr="009D6B97" w:rsidRDefault="006D574C" w:rsidP="009B7B6E">
            <w:pPr>
              <w:rPr>
                <w:rFonts w:ascii="Calibri" w:eastAsia="Times New Roman" w:hAnsi="Calibri" w:cs="Calibri"/>
                <w:sz w:val="22"/>
                <w:szCs w:val="22"/>
                <w:lang w:eastAsia="en-GB"/>
              </w:rPr>
            </w:pPr>
            <w:r>
              <w:rPr>
                <w:color w:val="000000"/>
                <w:sz w:val="20"/>
                <w:szCs w:val="20"/>
                <w:shd w:val="clear" w:color="auto" w:fill="FFFFFF"/>
              </w:rPr>
              <w:t>This KPI depends upon us managing quarterly monitoring however we are always a quarter behind because of the way the team manage the monitoring process. Our latest data indicates 194 new build only completions between April – September 2022. We also have 56 anticipated windfall commitments (completions from minor applications) within the same period. Thus the cumulative total is 250 to the end of Sept 2022.</w:t>
            </w:r>
          </w:p>
        </w:tc>
      </w:tr>
      <w:tr w:rsidR="009D6B97" w:rsidRPr="009D6B97" w14:paraId="2262C2E7" w14:textId="77777777" w:rsidTr="004E4A4C">
        <w:trPr>
          <w:trHeight w:val="50"/>
        </w:trPr>
        <w:tc>
          <w:tcPr>
            <w:tcW w:w="1276" w:type="dxa"/>
            <w:vMerge/>
            <w:tcBorders>
              <w:top w:val="nil"/>
              <w:left w:val="single" w:sz="8" w:space="0" w:color="auto"/>
              <w:bottom w:val="single" w:sz="4" w:space="0" w:color="auto"/>
              <w:right w:val="nil"/>
            </w:tcBorders>
            <w:vAlign w:val="center"/>
            <w:hideMark/>
          </w:tcPr>
          <w:p w14:paraId="29FE08B6"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11A0FA2C"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14:paraId="67AA2B78"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0652915C"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289F2614" w14:textId="77777777" w:rsidR="009D6B97" w:rsidRPr="009D6B97" w:rsidRDefault="009D6B97" w:rsidP="009D6B97">
            <w:pPr>
              <w:rPr>
                <w:rFonts w:ascii="Calibri" w:eastAsia="Times New Roman" w:hAnsi="Calibri" w:cs="Calibri"/>
                <w:sz w:val="22"/>
                <w:szCs w:val="22"/>
                <w:lang w:eastAsia="en-GB"/>
              </w:rPr>
            </w:pPr>
          </w:p>
        </w:tc>
        <w:tc>
          <w:tcPr>
            <w:tcW w:w="1441" w:type="dxa"/>
            <w:vMerge/>
            <w:tcBorders>
              <w:top w:val="nil"/>
              <w:left w:val="single" w:sz="8" w:space="0" w:color="auto"/>
              <w:bottom w:val="single" w:sz="4" w:space="0" w:color="auto"/>
              <w:right w:val="single" w:sz="8" w:space="0" w:color="auto"/>
            </w:tcBorders>
            <w:shd w:val="clear" w:color="auto" w:fill="FFC000"/>
            <w:vAlign w:val="center"/>
            <w:hideMark/>
          </w:tcPr>
          <w:p w14:paraId="7C8494D2" w14:textId="77777777"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054E280A" w14:textId="77777777" w:rsidR="009D6B97" w:rsidRPr="009D6B97" w:rsidRDefault="009D6B97" w:rsidP="009D6B97">
            <w:pPr>
              <w:rPr>
                <w:rFonts w:ascii="Calibri" w:eastAsia="Times New Roman" w:hAnsi="Calibri" w:cs="Calibri"/>
                <w:b/>
                <w:bCs/>
                <w:sz w:val="22"/>
                <w:szCs w:val="22"/>
                <w:lang w:eastAsia="en-GB"/>
              </w:rPr>
            </w:pPr>
          </w:p>
        </w:tc>
      </w:tr>
      <w:tr w:rsidR="00984574" w:rsidRPr="009D6B97" w14:paraId="3839C5F6" w14:textId="77777777" w:rsidTr="004E4A4C">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14:paraId="41DBE565"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2BFC267D"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14:paraId="035D583D"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Mish Tullar</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2F0ED2EF" w14:textId="77777777"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218" w:type="dxa"/>
            <w:tcBorders>
              <w:top w:val="nil"/>
              <w:left w:val="nil"/>
              <w:bottom w:val="single" w:sz="4" w:space="0" w:color="auto"/>
              <w:right w:val="nil"/>
            </w:tcBorders>
            <w:shd w:val="clear" w:color="auto" w:fill="auto"/>
            <w:noWrap/>
            <w:vAlign w:val="center"/>
            <w:hideMark/>
          </w:tcPr>
          <w:p w14:paraId="66BEEC32" w14:textId="77777777" w:rsidR="00984574" w:rsidRPr="009D6B97" w:rsidRDefault="006D574C"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441" w:type="dxa"/>
            <w:tcBorders>
              <w:top w:val="nil"/>
              <w:left w:val="single" w:sz="8" w:space="0" w:color="auto"/>
              <w:bottom w:val="single" w:sz="4" w:space="0" w:color="auto"/>
              <w:right w:val="single" w:sz="8" w:space="0" w:color="auto"/>
            </w:tcBorders>
            <w:shd w:val="clear" w:color="auto" w:fill="auto"/>
            <w:vAlign w:val="center"/>
            <w:hideMark/>
          </w:tcPr>
          <w:p w14:paraId="45781E0B" w14:textId="77777777" w:rsidR="00984574" w:rsidRPr="009D6B97" w:rsidRDefault="006D574C"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6379" w:type="dxa"/>
            <w:tcBorders>
              <w:top w:val="nil"/>
              <w:left w:val="nil"/>
              <w:bottom w:val="single" w:sz="4" w:space="0" w:color="auto"/>
              <w:right w:val="single" w:sz="8" w:space="0" w:color="auto"/>
            </w:tcBorders>
            <w:shd w:val="clear" w:color="auto" w:fill="auto"/>
            <w:vAlign w:val="center"/>
            <w:hideMark/>
          </w:tcPr>
          <w:p w14:paraId="2C256AB5" w14:textId="77777777" w:rsidR="00984574" w:rsidRDefault="006D574C" w:rsidP="008B4275">
            <w:pPr>
              <w:rPr>
                <w:color w:val="000000"/>
                <w:sz w:val="20"/>
                <w:szCs w:val="20"/>
                <w:shd w:val="clear" w:color="auto" w:fill="FFFFFF"/>
              </w:rPr>
            </w:pPr>
            <w:r>
              <w:rPr>
                <w:color w:val="000000"/>
                <w:sz w:val="20"/>
                <w:szCs w:val="20"/>
                <w:shd w:val="clear" w:color="auto" w:fill="FFFFFF"/>
              </w:rPr>
              <w:t>Oxford Residents Panel currently being refreshed.</w:t>
            </w:r>
          </w:p>
          <w:p w14:paraId="327B6C02" w14:textId="77777777" w:rsidR="00E508F8" w:rsidRDefault="00E508F8" w:rsidP="008B4275">
            <w:pPr>
              <w:rPr>
                <w:color w:val="000000"/>
                <w:sz w:val="20"/>
                <w:szCs w:val="20"/>
                <w:shd w:val="clear" w:color="auto" w:fill="FFFFFF"/>
              </w:rPr>
            </w:pPr>
          </w:p>
          <w:p w14:paraId="43EB62CA" w14:textId="77777777" w:rsidR="00E508F8" w:rsidRPr="009D6B97" w:rsidRDefault="00E508F8" w:rsidP="008B4275">
            <w:pPr>
              <w:rPr>
                <w:rFonts w:ascii="Calibri" w:eastAsia="Times New Roman" w:hAnsi="Calibri" w:cs="Calibri"/>
                <w:sz w:val="22"/>
                <w:szCs w:val="22"/>
                <w:lang w:eastAsia="en-GB"/>
              </w:rPr>
            </w:pPr>
            <w:r>
              <w:rPr>
                <w:color w:val="000000"/>
                <w:sz w:val="20"/>
                <w:szCs w:val="20"/>
                <w:shd w:val="clear" w:color="auto" w:fill="FFFFFF"/>
              </w:rPr>
              <w:t>New survey planned for summer 2023.</w:t>
            </w:r>
          </w:p>
        </w:tc>
      </w:tr>
      <w:tr w:rsidR="009D6B97" w:rsidRPr="009D6B97" w14:paraId="7821F30D" w14:textId="77777777" w:rsidTr="004E4A4C">
        <w:trPr>
          <w:trHeight w:val="290"/>
        </w:trPr>
        <w:tc>
          <w:tcPr>
            <w:tcW w:w="1276" w:type="dxa"/>
            <w:tcBorders>
              <w:top w:val="nil"/>
              <w:left w:val="single" w:sz="8" w:space="0" w:color="auto"/>
              <w:bottom w:val="single" w:sz="4" w:space="0" w:color="auto"/>
              <w:right w:val="nil"/>
            </w:tcBorders>
            <w:shd w:val="clear" w:color="auto" w:fill="auto"/>
            <w:noWrap/>
            <w:vAlign w:val="center"/>
            <w:hideMark/>
          </w:tcPr>
          <w:p w14:paraId="1B6C3B65"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14:paraId="222F610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14:paraId="0EAAA43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Brooke</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14:paraId="436979F6" w14:textId="77777777" w:rsidR="009D6B97" w:rsidRPr="009D6B97" w:rsidRDefault="002570E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218" w:type="dxa"/>
            <w:tcBorders>
              <w:top w:val="nil"/>
              <w:left w:val="nil"/>
              <w:bottom w:val="single" w:sz="4" w:space="0" w:color="auto"/>
              <w:right w:val="nil"/>
            </w:tcBorders>
            <w:shd w:val="clear" w:color="auto" w:fill="auto"/>
            <w:noWrap/>
            <w:vAlign w:val="center"/>
            <w:hideMark/>
          </w:tcPr>
          <w:p w14:paraId="4078B8DF"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441" w:type="dxa"/>
            <w:tcBorders>
              <w:top w:val="nil"/>
              <w:left w:val="single" w:sz="8" w:space="0" w:color="auto"/>
              <w:bottom w:val="single" w:sz="4" w:space="0" w:color="auto"/>
              <w:right w:val="single" w:sz="8" w:space="0" w:color="auto"/>
            </w:tcBorders>
            <w:shd w:val="clear" w:color="auto" w:fill="00B050"/>
            <w:vAlign w:val="center"/>
            <w:hideMark/>
          </w:tcPr>
          <w:p w14:paraId="72590911" w14:textId="77777777" w:rsidR="009D6B97" w:rsidRPr="009D6B97" w:rsidRDefault="006D574C"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6379" w:type="dxa"/>
            <w:tcBorders>
              <w:top w:val="nil"/>
              <w:left w:val="nil"/>
              <w:bottom w:val="single" w:sz="4" w:space="0" w:color="auto"/>
              <w:right w:val="single" w:sz="8" w:space="0" w:color="auto"/>
            </w:tcBorders>
            <w:shd w:val="clear" w:color="auto" w:fill="auto"/>
            <w:hideMark/>
          </w:tcPr>
          <w:p w14:paraId="5CBDCB02" w14:textId="77777777" w:rsidR="00F15EDA" w:rsidRPr="009D6B97" w:rsidRDefault="006D574C" w:rsidP="00176585">
            <w:pPr>
              <w:rPr>
                <w:rFonts w:ascii="Calibri" w:eastAsia="Times New Roman" w:hAnsi="Calibri" w:cs="Calibri"/>
                <w:sz w:val="22"/>
                <w:szCs w:val="22"/>
                <w:lang w:eastAsia="en-GB"/>
              </w:rPr>
            </w:pPr>
            <w:r>
              <w:rPr>
                <w:color w:val="000000"/>
                <w:sz w:val="20"/>
                <w:szCs w:val="20"/>
                <w:shd w:val="clear" w:color="auto" w:fill="FFFFFF"/>
              </w:rPr>
              <w:t>Updated annually.</w:t>
            </w:r>
          </w:p>
        </w:tc>
      </w:tr>
      <w:tr w:rsidR="00B10C79" w:rsidRPr="009D6B97" w14:paraId="7C854AA0" w14:textId="77777777" w:rsidTr="004E4A4C">
        <w:trPr>
          <w:trHeight w:val="1450"/>
        </w:trPr>
        <w:tc>
          <w:tcPr>
            <w:tcW w:w="1276" w:type="dxa"/>
            <w:tcBorders>
              <w:top w:val="nil"/>
              <w:left w:val="single" w:sz="8" w:space="0" w:color="auto"/>
              <w:bottom w:val="single" w:sz="4" w:space="0" w:color="auto"/>
              <w:right w:val="nil"/>
            </w:tcBorders>
            <w:shd w:val="clear" w:color="auto" w:fill="auto"/>
            <w:noWrap/>
            <w:hideMark/>
          </w:tcPr>
          <w:p w14:paraId="49762612"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RS005</w:t>
            </w:r>
          </w:p>
        </w:tc>
        <w:tc>
          <w:tcPr>
            <w:tcW w:w="3119" w:type="dxa"/>
            <w:tcBorders>
              <w:top w:val="nil"/>
              <w:left w:val="single" w:sz="8" w:space="0" w:color="auto"/>
              <w:bottom w:val="single" w:sz="4" w:space="0" w:color="auto"/>
              <w:right w:val="single" w:sz="8" w:space="0" w:color="auto"/>
            </w:tcBorders>
            <w:shd w:val="clear" w:color="auto" w:fill="auto"/>
            <w:hideMark/>
          </w:tcPr>
          <w:p w14:paraId="549F4D31"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14:paraId="7E6123AB" w14:textId="77777777" w:rsidR="00B10C79" w:rsidRPr="009D6B97" w:rsidRDefault="00B10C79"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18" w:type="dxa"/>
            <w:tcBorders>
              <w:top w:val="nil"/>
              <w:left w:val="single" w:sz="8" w:space="0" w:color="auto"/>
              <w:bottom w:val="single" w:sz="4" w:space="0" w:color="auto"/>
              <w:right w:val="single" w:sz="8" w:space="0" w:color="auto"/>
            </w:tcBorders>
            <w:shd w:val="clear" w:color="auto" w:fill="auto"/>
            <w:hideMark/>
          </w:tcPr>
          <w:p w14:paraId="6FA25346" w14:textId="77777777"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218" w:type="dxa"/>
            <w:tcBorders>
              <w:top w:val="nil"/>
              <w:left w:val="nil"/>
              <w:bottom w:val="single" w:sz="4" w:space="0" w:color="auto"/>
              <w:right w:val="nil"/>
            </w:tcBorders>
            <w:shd w:val="clear" w:color="auto" w:fill="auto"/>
            <w:hideMark/>
          </w:tcPr>
          <w:p w14:paraId="4161A3E2" w14:textId="77777777" w:rsidR="00B10C79" w:rsidRPr="009D6B97" w:rsidRDefault="00B10C79"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c>
          <w:tcPr>
            <w:tcW w:w="1441" w:type="dxa"/>
            <w:tcBorders>
              <w:top w:val="nil"/>
              <w:left w:val="single" w:sz="8" w:space="0" w:color="auto"/>
              <w:bottom w:val="single" w:sz="4" w:space="0" w:color="auto"/>
              <w:right w:val="single" w:sz="8" w:space="0" w:color="auto"/>
            </w:tcBorders>
            <w:shd w:val="clear" w:color="auto" w:fill="auto"/>
            <w:hideMark/>
          </w:tcPr>
          <w:p w14:paraId="59D8EDE4" w14:textId="77777777" w:rsidR="00B10C79" w:rsidRPr="009D6B97" w:rsidRDefault="00900E14" w:rsidP="008B4275">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10</w:t>
            </w:r>
          </w:p>
        </w:tc>
        <w:tc>
          <w:tcPr>
            <w:tcW w:w="6379" w:type="dxa"/>
            <w:tcBorders>
              <w:top w:val="nil"/>
              <w:left w:val="nil"/>
              <w:bottom w:val="single" w:sz="4" w:space="0" w:color="auto"/>
              <w:right w:val="single" w:sz="8" w:space="0" w:color="auto"/>
            </w:tcBorders>
            <w:shd w:val="clear" w:color="auto" w:fill="auto"/>
            <w:hideMark/>
          </w:tcPr>
          <w:p w14:paraId="722B2708" w14:textId="77777777" w:rsidR="00B10C79" w:rsidRPr="009D6B97" w:rsidRDefault="00B10C79" w:rsidP="009F2CF6">
            <w:pPr>
              <w:rPr>
                <w:rFonts w:ascii="Calibri" w:eastAsia="Times New Roman" w:hAnsi="Calibri" w:cs="Calibri"/>
                <w:sz w:val="22"/>
                <w:szCs w:val="22"/>
                <w:lang w:eastAsia="en-GB"/>
              </w:rPr>
            </w:pPr>
          </w:p>
        </w:tc>
      </w:tr>
      <w:tr w:rsidR="009D6B97" w:rsidRPr="009D6B97" w14:paraId="6C25EDE0" w14:textId="77777777" w:rsidTr="004E4A4C">
        <w:trPr>
          <w:trHeight w:val="737"/>
        </w:trPr>
        <w:tc>
          <w:tcPr>
            <w:tcW w:w="1276" w:type="dxa"/>
            <w:vMerge w:val="restart"/>
            <w:tcBorders>
              <w:top w:val="nil"/>
              <w:left w:val="single" w:sz="8" w:space="0" w:color="auto"/>
              <w:bottom w:val="single" w:sz="4" w:space="0" w:color="auto"/>
              <w:right w:val="nil"/>
            </w:tcBorders>
            <w:shd w:val="clear" w:color="auto" w:fill="auto"/>
            <w:vAlign w:val="center"/>
            <w:hideMark/>
          </w:tcPr>
          <w:p w14:paraId="208CCB8C" w14:textId="77777777" w:rsidR="009D6B97" w:rsidRPr="009D6B97" w:rsidRDefault="009D6B97" w:rsidP="007D5CD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5469713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14:paraId="6C29C730"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19CB65B7" w14:textId="77777777" w:rsidR="009D6B97" w:rsidRPr="009D6B97" w:rsidRDefault="009D6B97" w:rsidP="002570E6">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30</w:t>
            </w:r>
          </w:p>
        </w:tc>
        <w:tc>
          <w:tcPr>
            <w:tcW w:w="1218" w:type="dxa"/>
            <w:vMerge w:val="restart"/>
            <w:tcBorders>
              <w:top w:val="nil"/>
              <w:left w:val="nil"/>
              <w:bottom w:val="single" w:sz="4" w:space="0" w:color="auto"/>
              <w:right w:val="nil"/>
            </w:tcBorders>
            <w:shd w:val="clear" w:color="auto" w:fill="auto"/>
            <w:vAlign w:val="center"/>
            <w:hideMark/>
          </w:tcPr>
          <w:p w14:paraId="2B09D8E6" w14:textId="77777777" w:rsidR="009D6B97" w:rsidRPr="009D6B97" w:rsidRDefault="006D574C" w:rsidP="002570E6">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30</w:t>
            </w:r>
          </w:p>
        </w:tc>
        <w:tc>
          <w:tcPr>
            <w:tcW w:w="1441" w:type="dxa"/>
            <w:vMerge w:val="restart"/>
            <w:tcBorders>
              <w:top w:val="nil"/>
              <w:left w:val="single" w:sz="8" w:space="0" w:color="auto"/>
              <w:bottom w:val="single" w:sz="4" w:space="0" w:color="auto"/>
              <w:right w:val="single" w:sz="8" w:space="0" w:color="auto"/>
            </w:tcBorders>
            <w:shd w:val="clear" w:color="auto" w:fill="00B050"/>
            <w:vAlign w:val="center"/>
            <w:hideMark/>
          </w:tcPr>
          <w:p w14:paraId="33D2CAF8" w14:textId="77777777" w:rsidR="009D6B97" w:rsidRPr="009D6B97" w:rsidRDefault="006E201D" w:rsidP="006E201D">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26</w:t>
            </w:r>
          </w:p>
        </w:tc>
        <w:tc>
          <w:tcPr>
            <w:tcW w:w="6379" w:type="dxa"/>
            <w:vMerge w:val="restart"/>
            <w:tcBorders>
              <w:top w:val="nil"/>
              <w:left w:val="nil"/>
              <w:bottom w:val="single" w:sz="4" w:space="0" w:color="auto"/>
              <w:right w:val="single" w:sz="8" w:space="0" w:color="auto"/>
            </w:tcBorders>
            <w:shd w:val="clear" w:color="auto" w:fill="auto"/>
            <w:vAlign w:val="center"/>
            <w:hideMark/>
          </w:tcPr>
          <w:p w14:paraId="38C156A6" w14:textId="77777777" w:rsidR="009D6B97" w:rsidRPr="009D6B97" w:rsidRDefault="006E201D" w:rsidP="009D6B97">
            <w:pPr>
              <w:rPr>
                <w:rFonts w:ascii="Calibri" w:eastAsia="Times New Roman" w:hAnsi="Calibri" w:cs="Calibri"/>
                <w:sz w:val="22"/>
                <w:szCs w:val="22"/>
                <w:lang w:eastAsia="en-GB"/>
              </w:rPr>
            </w:pPr>
            <w:r>
              <w:rPr>
                <w:color w:val="000000"/>
                <w:sz w:val="20"/>
                <w:szCs w:val="20"/>
                <w:shd w:val="clear" w:color="auto" w:fill="FFFFFF"/>
              </w:rPr>
              <w:t>The estimate for the number of rough sleepers without an offer of accommodation at the end of December was 26. The total number of rough sleepers was 31, 2 of whom were accommodated but sleeping out and 3 had refused an offer of the Somewhere Safe to Stay Service at Floyds Row. This is below the corporate KPI and is a reflection of the hard work being undertaken by all of partners over recent months. Allied to this we now have 13 people accommodated in our Housing First service, many of whom were previously some of our most entrenched rough sleepers. It should be noted that of the 26 people without an offer of accommodation; 11 were suspected to have ‘No Recourse to Public Funds’ meaning that we as a local authority are not permitted to offer accommodation. We can, and do, offer support that enables the individuals to regularise their immigration status and St Mungo’s will lead on this work. Of the remaining 15 individuals the majority are working towards a planned offer of accommodation within supported accommodation but due to the pressures on the system most services are currently running a waiting list.</w:t>
            </w:r>
          </w:p>
        </w:tc>
      </w:tr>
      <w:tr w:rsidR="009D6B97" w:rsidRPr="009D6B97" w14:paraId="2C85D18C" w14:textId="77777777" w:rsidTr="004E4A4C">
        <w:trPr>
          <w:trHeight w:val="276"/>
        </w:trPr>
        <w:tc>
          <w:tcPr>
            <w:tcW w:w="1276" w:type="dxa"/>
            <w:vMerge/>
            <w:tcBorders>
              <w:top w:val="nil"/>
              <w:left w:val="single" w:sz="8" w:space="0" w:color="auto"/>
              <w:bottom w:val="single" w:sz="4" w:space="0" w:color="auto"/>
              <w:right w:val="nil"/>
            </w:tcBorders>
            <w:vAlign w:val="center"/>
            <w:hideMark/>
          </w:tcPr>
          <w:p w14:paraId="0623A6D6"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20C407FB"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1B72F06B"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237DF03F"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31765D48" w14:textId="77777777" w:rsidR="009D6B97" w:rsidRPr="009D6B97" w:rsidRDefault="009D6B97" w:rsidP="009D6B97">
            <w:pPr>
              <w:rPr>
                <w:rFonts w:ascii="Calibri" w:eastAsia="Times New Roman" w:hAnsi="Calibri" w:cs="Calibri"/>
                <w:sz w:val="22"/>
                <w:szCs w:val="22"/>
                <w:lang w:eastAsia="en-GB"/>
              </w:rPr>
            </w:pPr>
          </w:p>
        </w:tc>
        <w:tc>
          <w:tcPr>
            <w:tcW w:w="1441" w:type="dxa"/>
            <w:vMerge/>
            <w:tcBorders>
              <w:top w:val="nil"/>
              <w:left w:val="single" w:sz="8" w:space="0" w:color="auto"/>
              <w:bottom w:val="single" w:sz="4" w:space="0" w:color="auto"/>
              <w:right w:val="single" w:sz="8" w:space="0" w:color="auto"/>
            </w:tcBorders>
            <w:shd w:val="clear" w:color="auto" w:fill="00B050"/>
            <w:vAlign w:val="center"/>
            <w:hideMark/>
          </w:tcPr>
          <w:p w14:paraId="24E55612" w14:textId="77777777"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14:paraId="0D23ABE3" w14:textId="77777777" w:rsidR="009D6B97" w:rsidRPr="009D6B97" w:rsidRDefault="009D6B97" w:rsidP="009D6B97">
            <w:pPr>
              <w:rPr>
                <w:rFonts w:ascii="Calibri" w:eastAsia="Times New Roman" w:hAnsi="Calibri" w:cs="Calibri"/>
                <w:sz w:val="22"/>
                <w:szCs w:val="22"/>
                <w:lang w:eastAsia="en-GB"/>
              </w:rPr>
            </w:pPr>
          </w:p>
        </w:tc>
      </w:tr>
      <w:tr w:rsidR="00984574" w:rsidRPr="009D6B97" w14:paraId="6A3AA88B" w14:textId="77777777" w:rsidTr="004E4A4C">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24C4B689"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9B74F8"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14:paraId="4BE327B5" w14:textId="77777777" w:rsidR="00984574" w:rsidRPr="009D6B97" w:rsidRDefault="00984574" w:rsidP="008B4275">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772DE2" w14:textId="77777777"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38%</w:t>
            </w:r>
          </w:p>
        </w:tc>
        <w:tc>
          <w:tcPr>
            <w:tcW w:w="1218" w:type="dxa"/>
            <w:vMerge w:val="restart"/>
            <w:tcBorders>
              <w:top w:val="nil"/>
              <w:left w:val="nil"/>
              <w:bottom w:val="single" w:sz="8" w:space="0" w:color="000000"/>
              <w:right w:val="nil"/>
            </w:tcBorders>
            <w:shd w:val="clear" w:color="auto" w:fill="auto"/>
            <w:noWrap/>
            <w:vAlign w:val="center"/>
            <w:hideMark/>
          </w:tcPr>
          <w:p w14:paraId="4B281CDB" w14:textId="77777777" w:rsidR="00984574" w:rsidRPr="009D6B97" w:rsidRDefault="00984574" w:rsidP="008B4275">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5CE7CAA9" w14:textId="77777777" w:rsidR="00984574" w:rsidRPr="009D6B97" w:rsidRDefault="00A72F2C" w:rsidP="006E201D">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NA -reporting end of financial year</w:t>
            </w:r>
          </w:p>
        </w:tc>
        <w:tc>
          <w:tcPr>
            <w:tcW w:w="6379" w:type="dxa"/>
            <w:vMerge w:val="restart"/>
            <w:tcBorders>
              <w:top w:val="nil"/>
              <w:left w:val="nil"/>
              <w:bottom w:val="single" w:sz="8" w:space="0" w:color="000000"/>
              <w:right w:val="single" w:sz="8" w:space="0" w:color="auto"/>
            </w:tcBorders>
            <w:shd w:val="clear" w:color="auto" w:fill="auto"/>
            <w:vAlign w:val="center"/>
            <w:hideMark/>
          </w:tcPr>
          <w:p w14:paraId="43568BB6" w14:textId="77777777" w:rsidR="00984574" w:rsidRPr="009D6B97" w:rsidRDefault="00984574" w:rsidP="008B4275">
            <w:pPr>
              <w:rPr>
                <w:rFonts w:ascii="Calibri" w:eastAsia="Times New Roman" w:hAnsi="Calibri" w:cs="Calibri"/>
                <w:sz w:val="22"/>
                <w:szCs w:val="22"/>
                <w:lang w:eastAsia="en-GB"/>
              </w:rPr>
            </w:pPr>
          </w:p>
        </w:tc>
      </w:tr>
      <w:tr w:rsidR="00984574" w:rsidRPr="009D6B97" w14:paraId="4FA75AA1" w14:textId="77777777" w:rsidTr="004E4A4C">
        <w:trPr>
          <w:trHeight w:val="300"/>
        </w:trPr>
        <w:tc>
          <w:tcPr>
            <w:tcW w:w="1276" w:type="dxa"/>
            <w:vMerge/>
            <w:tcBorders>
              <w:top w:val="nil"/>
              <w:left w:val="single" w:sz="8" w:space="0" w:color="auto"/>
              <w:bottom w:val="single" w:sz="8" w:space="0" w:color="000000"/>
              <w:right w:val="nil"/>
            </w:tcBorders>
            <w:vAlign w:val="center"/>
            <w:hideMark/>
          </w:tcPr>
          <w:p w14:paraId="6760DE1F" w14:textId="77777777" w:rsidR="00984574" w:rsidRPr="009D6B97" w:rsidRDefault="00984574" w:rsidP="008B4275">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14:paraId="0A362E3F" w14:textId="77777777" w:rsidR="00984574" w:rsidRPr="009D6B97" w:rsidRDefault="00984574" w:rsidP="008B4275">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14:paraId="5B98D857" w14:textId="77777777" w:rsidR="00984574" w:rsidRPr="009D6B97" w:rsidRDefault="00984574" w:rsidP="008B4275">
            <w:pPr>
              <w:rPr>
                <w:rFonts w:ascii="Calibri" w:eastAsia="Times New Roman" w:hAnsi="Calibri" w:cs="Calibri"/>
                <w:sz w:val="22"/>
                <w:szCs w:val="22"/>
                <w:lang w:eastAsia="en-GB"/>
              </w:rPr>
            </w:pPr>
          </w:p>
        </w:tc>
        <w:tc>
          <w:tcPr>
            <w:tcW w:w="1218" w:type="dxa"/>
            <w:vMerge/>
            <w:tcBorders>
              <w:top w:val="nil"/>
              <w:left w:val="single" w:sz="8" w:space="0" w:color="auto"/>
              <w:bottom w:val="single" w:sz="8" w:space="0" w:color="000000"/>
              <w:right w:val="single" w:sz="8" w:space="0" w:color="auto"/>
            </w:tcBorders>
            <w:vAlign w:val="center"/>
            <w:hideMark/>
          </w:tcPr>
          <w:p w14:paraId="11B056F4" w14:textId="77777777" w:rsidR="00984574" w:rsidRPr="009D6B97" w:rsidRDefault="00984574" w:rsidP="008B4275">
            <w:pPr>
              <w:rPr>
                <w:rFonts w:ascii="Calibri" w:eastAsia="Times New Roman" w:hAnsi="Calibri" w:cs="Calibri"/>
                <w:sz w:val="22"/>
                <w:szCs w:val="22"/>
                <w:lang w:eastAsia="en-GB"/>
              </w:rPr>
            </w:pPr>
          </w:p>
        </w:tc>
        <w:tc>
          <w:tcPr>
            <w:tcW w:w="1218" w:type="dxa"/>
            <w:vMerge/>
            <w:tcBorders>
              <w:top w:val="nil"/>
              <w:left w:val="nil"/>
              <w:bottom w:val="single" w:sz="8" w:space="0" w:color="000000"/>
              <w:right w:val="nil"/>
            </w:tcBorders>
            <w:vAlign w:val="center"/>
            <w:hideMark/>
          </w:tcPr>
          <w:p w14:paraId="35047DD9" w14:textId="77777777" w:rsidR="00984574" w:rsidRPr="009D6B97" w:rsidRDefault="00984574" w:rsidP="008B4275">
            <w:pPr>
              <w:rPr>
                <w:rFonts w:ascii="Calibri" w:eastAsia="Times New Roman" w:hAnsi="Calibri" w:cs="Calibri"/>
                <w:sz w:val="22"/>
                <w:szCs w:val="22"/>
                <w:lang w:eastAsia="en-GB"/>
              </w:rPr>
            </w:pPr>
          </w:p>
        </w:tc>
        <w:tc>
          <w:tcPr>
            <w:tcW w:w="1441" w:type="dxa"/>
            <w:vMerge/>
            <w:tcBorders>
              <w:top w:val="nil"/>
              <w:left w:val="single" w:sz="8" w:space="0" w:color="auto"/>
              <w:bottom w:val="single" w:sz="8" w:space="0" w:color="000000"/>
              <w:right w:val="single" w:sz="8" w:space="0" w:color="auto"/>
            </w:tcBorders>
            <w:vAlign w:val="center"/>
            <w:hideMark/>
          </w:tcPr>
          <w:p w14:paraId="085CB1F2" w14:textId="77777777" w:rsidR="00984574" w:rsidRPr="009D6B97" w:rsidRDefault="00984574" w:rsidP="008B4275">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hideMark/>
          </w:tcPr>
          <w:p w14:paraId="672348A9" w14:textId="77777777" w:rsidR="00984574" w:rsidRPr="009D6B97" w:rsidRDefault="00984574" w:rsidP="008B4275">
            <w:pPr>
              <w:rPr>
                <w:rFonts w:ascii="Calibri" w:eastAsia="Times New Roman" w:hAnsi="Calibri" w:cs="Calibri"/>
                <w:sz w:val="22"/>
                <w:szCs w:val="22"/>
                <w:lang w:eastAsia="en-GB"/>
              </w:rPr>
            </w:pPr>
          </w:p>
        </w:tc>
      </w:tr>
      <w:tr w:rsidR="00984574" w14:paraId="762EA099" w14:textId="77777777" w:rsidTr="004E4A4C">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14:paraId="624CA728" w14:textId="77777777" w:rsidR="00984574" w:rsidRDefault="00984574" w:rsidP="008B4275">
            <w:pPr>
              <w:rPr>
                <w:rFonts w:ascii="Calibri" w:hAnsi="Calibri" w:cs="Calibri"/>
                <w:color w:val="000000"/>
                <w:sz w:val="22"/>
                <w:szCs w:val="22"/>
              </w:rPr>
            </w:pPr>
            <w:r>
              <w:rPr>
                <w:rFonts w:ascii="Calibri" w:hAnsi="Calibri" w:cs="Calibri"/>
                <w:color w:val="000000"/>
                <w:sz w:val="22"/>
                <w:szCs w:val="22"/>
              </w:rPr>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B58D1D" w14:textId="77777777" w:rsidR="00984574" w:rsidRDefault="00984574" w:rsidP="008B4275">
            <w:pPr>
              <w:rPr>
                <w:rFonts w:ascii="Calibri" w:hAnsi="Calibri" w:cs="Calibri"/>
                <w:color w:val="000000"/>
                <w:sz w:val="22"/>
                <w:szCs w:val="22"/>
              </w:rPr>
            </w:pPr>
            <w:r>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14:paraId="1CF35460" w14:textId="77777777" w:rsidR="00984574" w:rsidRDefault="00984574" w:rsidP="008B4275">
            <w:pPr>
              <w:rPr>
                <w:rFonts w:ascii="Calibri" w:hAnsi="Calibri" w:cs="Calibri"/>
                <w:color w:val="000000"/>
                <w:sz w:val="22"/>
                <w:szCs w:val="22"/>
              </w:rPr>
            </w:pPr>
            <w:r>
              <w:rPr>
                <w:rFonts w:ascii="Calibri" w:hAnsi="Calibri" w:cs="Calibri"/>
                <w:color w:val="000000"/>
                <w:sz w:val="22"/>
                <w:szCs w:val="22"/>
              </w:rPr>
              <w:t>Nerys Parry</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F89B40" w14:textId="77777777" w:rsidR="00984574" w:rsidRDefault="00984574" w:rsidP="00EC5E19">
            <w:pPr>
              <w:jc w:val="center"/>
              <w:rPr>
                <w:rFonts w:ascii="Calibri" w:hAnsi="Calibri" w:cs="Calibri"/>
                <w:color w:val="000000"/>
                <w:sz w:val="22"/>
                <w:szCs w:val="22"/>
              </w:rPr>
            </w:pPr>
            <w:r>
              <w:rPr>
                <w:rFonts w:ascii="Calibri" w:hAnsi="Calibri" w:cs="Calibri"/>
                <w:color w:val="000000"/>
                <w:sz w:val="22"/>
                <w:szCs w:val="22"/>
              </w:rPr>
              <w:t>95</w:t>
            </w:r>
          </w:p>
        </w:tc>
        <w:tc>
          <w:tcPr>
            <w:tcW w:w="1218" w:type="dxa"/>
            <w:tcBorders>
              <w:top w:val="single" w:sz="8" w:space="0" w:color="auto"/>
              <w:left w:val="nil"/>
              <w:bottom w:val="single" w:sz="8" w:space="0" w:color="auto"/>
              <w:right w:val="nil"/>
            </w:tcBorders>
            <w:shd w:val="clear" w:color="auto" w:fill="auto"/>
            <w:vAlign w:val="center"/>
            <w:hideMark/>
          </w:tcPr>
          <w:p w14:paraId="0568BED2" w14:textId="77777777" w:rsidR="00984574" w:rsidRDefault="004D3903" w:rsidP="00EC5E19">
            <w:pPr>
              <w:jc w:val="center"/>
              <w:rPr>
                <w:rFonts w:ascii="Calibri" w:hAnsi="Calibri" w:cs="Calibri"/>
                <w:color w:val="000000"/>
                <w:sz w:val="22"/>
                <w:szCs w:val="22"/>
              </w:rPr>
            </w:pPr>
            <w:r>
              <w:rPr>
                <w:rFonts w:ascii="Calibri" w:hAnsi="Calibri" w:cs="Calibri"/>
                <w:color w:val="000000"/>
                <w:sz w:val="22"/>
                <w:szCs w:val="22"/>
              </w:rPr>
              <w:t>100</w:t>
            </w:r>
          </w:p>
        </w:tc>
        <w:tc>
          <w:tcPr>
            <w:tcW w:w="1441" w:type="dxa"/>
            <w:tcBorders>
              <w:top w:val="single" w:sz="8" w:space="0" w:color="auto"/>
              <w:left w:val="single" w:sz="8" w:space="0" w:color="auto"/>
              <w:bottom w:val="single" w:sz="8" w:space="0" w:color="auto"/>
              <w:right w:val="single" w:sz="8" w:space="0" w:color="auto"/>
            </w:tcBorders>
            <w:shd w:val="clear" w:color="auto" w:fill="FF0000"/>
            <w:vAlign w:val="center"/>
            <w:hideMark/>
          </w:tcPr>
          <w:p w14:paraId="1E6D263A" w14:textId="77777777" w:rsidR="00984574" w:rsidRDefault="006E201D" w:rsidP="00EC5E19">
            <w:pPr>
              <w:jc w:val="center"/>
              <w:rPr>
                <w:rFonts w:ascii="Calibri" w:hAnsi="Calibri" w:cs="Calibri"/>
                <w:color w:val="000000"/>
                <w:sz w:val="22"/>
                <w:szCs w:val="22"/>
              </w:rPr>
            </w:pPr>
            <w:r>
              <w:rPr>
                <w:rFonts w:ascii="Calibri" w:hAnsi="Calibri" w:cs="Calibri"/>
                <w:color w:val="000000"/>
                <w:sz w:val="22"/>
                <w:szCs w:val="22"/>
              </w:rPr>
              <w:t>113</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14:paraId="5C6051CA" w14:textId="77777777" w:rsidR="00984574" w:rsidRDefault="006E201D" w:rsidP="008B4275">
            <w:pPr>
              <w:rPr>
                <w:rFonts w:ascii="Calibri" w:hAnsi="Calibri" w:cs="Calibri"/>
                <w:color w:val="000000"/>
                <w:sz w:val="22"/>
                <w:szCs w:val="22"/>
              </w:rPr>
            </w:pPr>
            <w:r>
              <w:rPr>
                <w:color w:val="000000"/>
                <w:sz w:val="20"/>
                <w:szCs w:val="20"/>
                <w:shd w:val="clear" w:color="auto" w:fill="FFFFFF"/>
              </w:rPr>
              <w:t>We continue to see pressure on our temporary accommodation (t/a). In this quarter, we have seen an increase in the number of households we owed a Relief Duty towards (already homeless) and as a result, we have seen a high number of placements into temporary accommodation. We carried out 109 Initial Assessments under the Homelessness Reduction Act, and 63 of these households were owed a Relief Duty. As comparison, in Q1, a total of 32 households were owed a Relief Duty. Please note – this aforementioned data is provisional until it has been verified by DLUHC. We placed a total of 68 households in temporary accommodation in Q3 compared to 50 in Q2. In Q3, we saw also an increase in the number of households approaching us for assistance, with 269 households having duty appointments/interviews during Q3 compared to 195 in Q2.</w:t>
            </w:r>
          </w:p>
        </w:tc>
      </w:tr>
      <w:tr w:rsidR="009D6B97" w:rsidRPr="009D6B97" w14:paraId="4FB5F87F" w14:textId="77777777" w:rsidTr="004E4A4C">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14:paraId="75D41533"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643E3D09" w14:textId="4E8F5147" w:rsidR="009D6B97" w:rsidRPr="009D6B97" w:rsidRDefault="009D6B97" w:rsidP="002C1949">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of staff</w:t>
            </w:r>
            <w:r w:rsidR="002C1949">
              <w:rPr>
                <w:rFonts w:ascii="Calibri" w:eastAsia="Times New Roman" w:hAnsi="Calibri" w:cs="Calibri"/>
                <w:sz w:val="22"/>
                <w:szCs w:val="22"/>
                <w:lang w:eastAsia="en-GB"/>
              </w:rPr>
              <w:t xml:space="preserve"> from minority ethnic groups</w:t>
            </w:r>
          </w:p>
        </w:tc>
        <w:tc>
          <w:tcPr>
            <w:tcW w:w="1276" w:type="dxa"/>
            <w:vMerge w:val="restart"/>
            <w:tcBorders>
              <w:top w:val="nil"/>
              <w:left w:val="nil"/>
              <w:bottom w:val="single" w:sz="4" w:space="0" w:color="auto"/>
              <w:right w:val="nil"/>
            </w:tcBorders>
            <w:shd w:val="clear" w:color="auto" w:fill="auto"/>
            <w:vAlign w:val="center"/>
            <w:hideMark/>
          </w:tcPr>
          <w:p w14:paraId="42B877A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39D44041" w14:textId="77777777" w:rsidR="009D6B97" w:rsidRPr="009D6B97" w:rsidRDefault="00F15ED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15.5</w:t>
            </w:r>
          </w:p>
        </w:tc>
        <w:tc>
          <w:tcPr>
            <w:tcW w:w="1218" w:type="dxa"/>
            <w:vMerge w:val="restart"/>
            <w:tcBorders>
              <w:top w:val="nil"/>
              <w:left w:val="nil"/>
              <w:bottom w:val="single" w:sz="4" w:space="0" w:color="auto"/>
              <w:right w:val="nil"/>
            </w:tcBorders>
            <w:shd w:val="clear" w:color="auto" w:fill="auto"/>
            <w:noWrap/>
            <w:vAlign w:val="center"/>
            <w:hideMark/>
          </w:tcPr>
          <w:p w14:paraId="1EB1C2A0" w14:textId="6B2DEEC0" w:rsidR="009D6B97" w:rsidRPr="009D6B97" w:rsidRDefault="002C1949" w:rsidP="002C1949">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15.5</w:t>
            </w:r>
          </w:p>
        </w:tc>
        <w:tc>
          <w:tcPr>
            <w:tcW w:w="1441" w:type="dxa"/>
            <w:vMerge w:val="restart"/>
            <w:tcBorders>
              <w:top w:val="nil"/>
              <w:left w:val="single" w:sz="8" w:space="0" w:color="auto"/>
              <w:bottom w:val="single" w:sz="4" w:space="0" w:color="auto"/>
              <w:right w:val="single" w:sz="8" w:space="0" w:color="auto"/>
            </w:tcBorders>
            <w:shd w:val="clear" w:color="auto" w:fill="FFC000"/>
            <w:vAlign w:val="center"/>
            <w:hideMark/>
          </w:tcPr>
          <w:p w14:paraId="248432C4" w14:textId="77777777" w:rsidR="009D6B97" w:rsidRPr="009D6B97" w:rsidRDefault="00485ED0"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14.52%</w:t>
            </w:r>
          </w:p>
        </w:tc>
        <w:tc>
          <w:tcPr>
            <w:tcW w:w="6379" w:type="dxa"/>
            <w:tcBorders>
              <w:top w:val="nil"/>
              <w:left w:val="nil"/>
              <w:right w:val="single" w:sz="8" w:space="0" w:color="auto"/>
            </w:tcBorders>
            <w:shd w:val="clear" w:color="auto" w:fill="auto"/>
            <w:vAlign w:val="center"/>
            <w:hideMark/>
          </w:tcPr>
          <w:p w14:paraId="7E9C5D58" w14:textId="26F5D9D9" w:rsidR="009D6B97" w:rsidRPr="009D6B97" w:rsidRDefault="002C1949" w:rsidP="002C1949">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We are below target but have now recruited a Diversity and Inclusion Specialist who will be focused on building a more inclusive culture and improving attraction and recruitment to improve the diversity of the workforce. We have begun to advertise more broadly in the local community and we are currently reviewing the recruitment process and considering how process change can support recruitment from a more diverse pool of candidates. </w:t>
            </w:r>
          </w:p>
        </w:tc>
      </w:tr>
      <w:tr w:rsidR="009D6B97" w:rsidRPr="009D6B97" w14:paraId="48E0DEC3" w14:textId="77777777" w:rsidTr="004E4A4C">
        <w:trPr>
          <w:trHeight w:val="744"/>
        </w:trPr>
        <w:tc>
          <w:tcPr>
            <w:tcW w:w="1276" w:type="dxa"/>
            <w:vMerge/>
            <w:tcBorders>
              <w:top w:val="nil"/>
              <w:left w:val="single" w:sz="8" w:space="0" w:color="auto"/>
              <w:bottom w:val="single" w:sz="4" w:space="0" w:color="auto"/>
              <w:right w:val="nil"/>
            </w:tcBorders>
            <w:vAlign w:val="center"/>
            <w:hideMark/>
          </w:tcPr>
          <w:p w14:paraId="130AFFF9"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280AB326"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3D877B6B"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11967DB5"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55614751" w14:textId="77777777" w:rsidR="009D6B97" w:rsidRPr="009D6B97" w:rsidRDefault="009D6B97" w:rsidP="009D6B97">
            <w:pPr>
              <w:rPr>
                <w:rFonts w:ascii="Calibri" w:eastAsia="Times New Roman" w:hAnsi="Calibri" w:cs="Calibri"/>
                <w:sz w:val="22"/>
                <w:szCs w:val="22"/>
                <w:lang w:eastAsia="en-GB"/>
              </w:rPr>
            </w:pPr>
          </w:p>
        </w:tc>
        <w:tc>
          <w:tcPr>
            <w:tcW w:w="1441" w:type="dxa"/>
            <w:vMerge/>
            <w:tcBorders>
              <w:top w:val="nil"/>
              <w:left w:val="single" w:sz="8" w:space="0" w:color="auto"/>
              <w:bottom w:val="single" w:sz="4" w:space="0" w:color="auto"/>
              <w:right w:val="single" w:sz="8" w:space="0" w:color="auto"/>
            </w:tcBorders>
            <w:shd w:val="clear" w:color="auto" w:fill="FFC000"/>
            <w:vAlign w:val="center"/>
            <w:hideMark/>
          </w:tcPr>
          <w:p w14:paraId="0FF9E1F8" w14:textId="77777777" w:rsidR="009D6B97" w:rsidRPr="009D6B97" w:rsidRDefault="009D6B97" w:rsidP="009D6B9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14:paraId="005E9E05" w14:textId="77777777" w:rsidR="009D6B97" w:rsidRPr="009D6B97" w:rsidRDefault="009D6B97" w:rsidP="009F2CF6">
            <w:pPr>
              <w:rPr>
                <w:rFonts w:ascii="Calibri" w:eastAsia="Times New Roman" w:hAnsi="Calibri" w:cs="Calibri"/>
                <w:sz w:val="22"/>
                <w:szCs w:val="22"/>
                <w:lang w:eastAsia="en-GB"/>
              </w:rPr>
            </w:pPr>
          </w:p>
        </w:tc>
      </w:tr>
      <w:tr w:rsidR="009D6B97" w:rsidRPr="009D6B97" w14:paraId="74507FB4" w14:textId="77777777" w:rsidTr="004E4A4C">
        <w:trPr>
          <w:trHeight w:val="1150"/>
        </w:trPr>
        <w:tc>
          <w:tcPr>
            <w:tcW w:w="1276" w:type="dxa"/>
            <w:vMerge w:val="restart"/>
            <w:tcBorders>
              <w:top w:val="nil"/>
              <w:left w:val="single" w:sz="8" w:space="0" w:color="auto"/>
              <w:bottom w:val="single" w:sz="4" w:space="0" w:color="auto"/>
              <w:right w:val="nil"/>
            </w:tcBorders>
            <w:shd w:val="clear" w:color="auto" w:fill="auto"/>
            <w:noWrap/>
            <w:vAlign w:val="center"/>
            <w:hideMark/>
          </w:tcPr>
          <w:p w14:paraId="75CEBA7A"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14:paraId="16D4C82B"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online forms completed and submitted as a proportion of total enquiries related to that service for top 10 services</w:t>
            </w:r>
          </w:p>
        </w:tc>
        <w:tc>
          <w:tcPr>
            <w:tcW w:w="1276" w:type="dxa"/>
            <w:vMerge w:val="restart"/>
            <w:tcBorders>
              <w:top w:val="nil"/>
              <w:left w:val="nil"/>
              <w:bottom w:val="single" w:sz="4" w:space="0" w:color="auto"/>
              <w:right w:val="nil"/>
            </w:tcBorders>
            <w:shd w:val="clear" w:color="auto" w:fill="auto"/>
            <w:vAlign w:val="center"/>
            <w:hideMark/>
          </w:tcPr>
          <w:p w14:paraId="7C0FD82F" w14:textId="77777777"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14:paraId="06E5769E"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Tracking indicator</w:t>
            </w:r>
          </w:p>
        </w:tc>
        <w:tc>
          <w:tcPr>
            <w:tcW w:w="1218" w:type="dxa"/>
            <w:vMerge w:val="restart"/>
            <w:tcBorders>
              <w:top w:val="nil"/>
              <w:left w:val="nil"/>
              <w:bottom w:val="single" w:sz="4" w:space="0" w:color="auto"/>
              <w:right w:val="nil"/>
            </w:tcBorders>
            <w:shd w:val="clear" w:color="auto" w:fill="auto"/>
            <w:noWrap/>
            <w:vAlign w:val="center"/>
            <w:hideMark/>
          </w:tcPr>
          <w:p w14:paraId="2C044279" w14:textId="77777777"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TBC</w:t>
            </w:r>
          </w:p>
        </w:tc>
        <w:tc>
          <w:tcPr>
            <w:tcW w:w="1441" w:type="dxa"/>
            <w:vMerge w:val="restart"/>
            <w:tcBorders>
              <w:top w:val="nil"/>
              <w:left w:val="single" w:sz="8" w:space="0" w:color="auto"/>
              <w:bottom w:val="single" w:sz="4" w:space="0" w:color="auto"/>
              <w:right w:val="single" w:sz="8" w:space="0" w:color="auto"/>
            </w:tcBorders>
            <w:shd w:val="clear" w:color="auto" w:fill="auto"/>
            <w:vAlign w:val="center"/>
            <w:hideMark/>
          </w:tcPr>
          <w:p w14:paraId="3A76E2D7" w14:textId="58299A9B"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sidR="006E201D">
              <w:rPr>
                <w:rFonts w:ascii="Calibri" w:eastAsia="Times New Roman" w:hAnsi="Calibri" w:cs="Calibri"/>
                <w:sz w:val="22"/>
                <w:szCs w:val="22"/>
                <w:lang w:eastAsia="en-GB"/>
              </w:rPr>
              <w:t>KPI under review</w:t>
            </w:r>
            <w:r w:rsidR="00341DA6">
              <w:rPr>
                <w:rFonts w:ascii="Calibri" w:eastAsia="Times New Roman" w:hAnsi="Calibri" w:cs="Calibri"/>
                <w:sz w:val="22"/>
                <w:szCs w:val="22"/>
                <w:lang w:eastAsia="en-GB"/>
              </w:rPr>
              <w:t xml:space="preserve"> for consideration as a future indicator</w:t>
            </w:r>
          </w:p>
        </w:tc>
        <w:tc>
          <w:tcPr>
            <w:tcW w:w="6379" w:type="dxa"/>
            <w:vMerge w:val="restart"/>
            <w:tcBorders>
              <w:top w:val="nil"/>
              <w:left w:val="nil"/>
              <w:bottom w:val="single" w:sz="4" w:space="0" w:color="auto"/>
              <w:right w:val="single" w:sz="8" w:space="0" w:color="auto"/>
            </w:tcBorders>
            <w:shd w:val="clear" w:color="auto" w:fill="auto"/>
            <w:vAlign w:val="center"/>
            <w:hideMark/>
          </w:tcPr>
          <w:p w14:paraId="7DE9257F" w14:textId="77777777" w:rsidR="009D6B97" w:rsidRPr="009D6B97" w:rsidRDefault="009D6B97" w:rsidP="009D6B97">
            <w:pPr>
              <w:rPr>
                <w:rFonts w:ascii="Calibri" w:eastAsia="Times New Roman" w:hAnsi="Calibri" w:cs="Calibri"/>
                <w:sz w:val="22"/>
                <w:szCs w:val="22"/>
                <w:lang w:eastAsia="en-GB"/>
              </w:rPr>
            </w:pPr>
          </w:p>
        </w:tc>
      </w:tr>
      <w:tr w:rsidR="009D6B97" w:rsidRPr="009D6B97" w14:paraId="527637D9" w14:textId="77777777" w:rsidTr="004E4A4C">
        <w:trPr>
          <w:trHeight w:val="290"/>
        </w:trPr>
        <w:tc>
          <w:tcPr>
            <w:tcW w:w="1276" w:type="dxa"/>
            <w:vMerge/>
            <w:tcBorders>
              <w:top w:val="nil"/>
              <w:left w:val="single" w:sz="8" w:space="0" w:color="auto"/>
              <w:bottom w:val="single" w:sz="4" w:space="0" w:color="auto"/>
              <w:right w:val="nil"/>
            </w:tcBorders>
            <w:vAlign w:val="center"/>
            <w:hideMark/>
          </w:tcPr>
          <w:p w14:paraId="4F402549" w14:textId="77777777" w:rsidR="009D6B97" w:rsidRPr="009D6B97" w:rsidRDefault="009D6B97" w:rsidP="009D6B9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14:paraId="6AE335F6" w14:textId="77777777" w:rsidR="009D6B97" w:rsidRPr="009D6B97" w:rsidRDefault="009D6B97" w:rsidP="009D6B9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14:paraId="299A1368"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14:paraId="16E74C22" w14:textId="77777777" w:rsidR="009D6B97" w:rsidRPr="009D6B97" w:rsidRDefault="009D6B97" w:rsidP="009D6B9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14:paraId="4260758A" w14:textId="77777777" w:rsidR="009D6B97" w:rsidRPr="009D6B97" w:rsidRDefault="009D6B97" w:rsidP="009D6B97">
            <w:pPr>
              <w:rPr>
                <w:rFonts w:ascii="Calibri" w:eastAsia="Times New Roman" w:hAnsi="Calibri" w:cs="Calibri"/>
                <w:sz w:val="22"/>
                <w:szCs w:val="22"/>
                <w:lang w:eastAsia="en-GB"/>
              </w:rPr>
            </w:pPr>
          </w:p>
        </w:tc>
        <w:tc>
          <w:tcPr>
            <w:tcW w:w="1441" w:type="dxa"/>
            <w:vMerge/>
            <w:tcBorders>
              <w:top w:val="nil"/>
              <w:left w:val="single" w:sz="8" w:space="0" w:color="auto"/>
              <w:bottom w:val="single" w:sz="4" w:space="0" w:color="auto"/>
              <w:right w:val="single" w:sz="8" w:space="0" w:color="auto"/>
            </w:tcBorders>
            <w:shd w:val="clear" w:color="auto" w:fill="auto"/>
            <w:vAlign w:val="center"/>
            <w:hideMark/>
          </w:tcPr>
          <w:p w14:paraId="098A0A06" w14:textId="77777777" w:rsidR="009D6B97" w:rsidRPr="009D6B97" w:rsidRDefault="009D6B97" w:rsidP="009D6B9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hideMark/>
          </w:tcPr>
          <w:p w14:paraId="0FAF4852" w14:textId="77777777" w:rsidR="009D6B97" w:rsidRPr="009D6B97" w:rsidRDefault="009D6B97" w:rsidP="009D6B97">
            <w:pPr>
              <w:rPr>
                <w:rFonts w:ascii="Calibri" w:eastAsia="Times New Roman" w:hAnsi="Calibri" w:cs="Calibri"/>
                <w:sz w:val="22"/>
                <w:szCs w:val="22"/>
                <w:lang w:eastAsia="en-GB"/>
              </w:rPr>
            </w:pPr>
          </w:p>
        </w:tc>
      </w:tr>
      <w:bookmarkEnd w:id="0"/>
    </w:tbl>
    <w:p w14:paraId="1C49534E" w14:textId="77777777"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9518" w14:textId="77777777" w:rsidR="00766FDF" w:rsidRDefault="00766FDF" w:rsidP="007D5CD7">
      <w:r>
        <w:separator/>
      </w:r>
    </w:p>
  </w:endnote>
  <w:endnote w:type="continuationSeparator" w:id="0">
    <w:p w14:paraId="695FA069" w14:textId="77777777" w:rsidR="00766FDF" w:rsidRDefault="00766FDF"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70C8" w14:textId="77777777" w:rsidR="00766FDF" w:rsidRDefault="00766FDF" w:rsidP="007D5CD7">
      <w:r>
        <w:separator/>
      </w:r>
    </w:p>
  </w:footnote>
  <w:footnote w:type="continuationSeparator" w:id="0">
    <w:p w14:paraId="31DCAF3A" w14:textId="77777777" w:rsidR="00766FDF" w:rsidRDefault="00766FDF" w:rsidP="007D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140C4"/>
    <w:rsid w:val="00055BFA"/>
    <w:rsid w:val="00064722"/>
    <w:rsid w:val="000930F8"/>
    <w:rsid w:val="000A58FA"/>
    <w:rsid w:val="000B4310"/>
    <w:rsid w:val="001106F6"/>
    <w:rsid w:val="00176585"/>
    <w:rsid w:val="002316CA"/>
    <w:rsid w:val="002570E6"/>
    <w:rsid w:val="002C1949"/>
    <w:rsid w:val="00341DA6"/>
    <w:rsid w:val="003E3F9B"/>
    <w:rsid w:val="004000D7"/>
    <w:rsid w:val="004746DC"/>
    <w:rsid w:val="0048307F"/>
    <w:rsid w:val="00485ED0"/>
    <w:rsid w:val="004C4C9B"/>
    <w:rsid w:val="004D3903"/>
    <w:rsid w:val="004E4A4C"/>
    <w:rsid w:val="00504E43"/>
    <w:rsid w:val="005F17FD"/>
    <w:rsid w:val="005F5751"/>
    <w:rsid w:val="0061162A"/>
    <w:rsid w:val="006557D0"/>
    <w:rsid w:val="006D574C"/>
    <w:rsid w:val="006E201D"/>
    <w:rsid w:val="00766FDF"/>
    <w:rsid w:val="007908F4"/>
    <w:rsid w:val="007D5CD7"/>
    <w:rsid w:val="00813732"/>
    <w:rsid w:val="008A22C6"/>
    <w:rsid w:val="008F56D7"/>
    <w:rsid w:val="00900E14"/>
    <w:rsid w:val="009547E1"/>
    <w:rsid w:val="00984574"/>
    <w:rsid w:val="009B7B6E"/>
    <w:rsid w:val="009D6B97"/>
    <w:rsid w:val="009F2CF6"/>
    <w:rsid w:val="00A10B11"/>
    <w:rsid w:val="00A20D87"/>
    <w:rsid w:val="00A72F2C"/>
    <w:rsid w:val="00AE119A"/>
    <w:rsid w:val="00B10C79"/>
    <w:rsid w:val="00B62CF8"/>
    <w:rsid w:val="00C07F80"/>
    <w:rsid w:val="00E47E8C"/>
    <w:rsid w:val="00E508F8"/>
    <w:rsid w:val="00E62739"/>
    <w:rsid w:val="00E67653"/>
    <w:rsid w:val="00EC5E19"/>
    <w:rsid w:val="00F15EDA"/>
    <w:rsid w:val="00F264F7"/>
    <w:rsid w:val="00F37F0C"/>
    <w:rsid w:val="00FD30C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7B0C"/>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 w:type="paragraph" w:styleId="BalloonText">
    <w:name w:val="Balloon Text"/>
    <w:basedOn w:val="Normal"/>
    <w:link w:val="BalloonTextChar"/>
    <w:uiPriority w:val="99"/>
    <w:semiHidden/>
    <w:unhideWhenUsed/>
    <w:rsid w:val="00014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3" ma:contentTypeDescription="Create a new document." ma:contentTypeScope="" ma:versionID="2df3ebfb0d3fe5186ac7720f8fc2be68">
  <xsd:schema xmlns:xsd="http://www.w3.org/2001/XMLSchema" xmlns:xs="http://www.w3.org/2001/XMLSchema" xmlns:p="http://schemas.microsoft.com/office/2006/metadata/properties" xmlns:ns3="7dfb703d-c66f-4e11-af73-ec7321244159" xmlns:ns4="8931870e-3f5a-430d-b2a8-6f4cc460a866" targetNamespace="http://schemas.microsoft.com/office/2006/metadata/properties" ma:root="true" ma:fieldsID="2682edcc28686f21aac9e2ce28a79375" ns3:_="" ns4:_="">
    <xsd:import namespace="7dfb703d-c66f-4e11-af73-ec7321244159"/>
    <xsd:import namespace="8931870e-3f5a-430d-b2a8-6f4cc460a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870e-3f5a-430d-b2a8-6f4cc460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E011-1F26-4896-A9EA-EE543318A6CC}">
  <ds:schemaRefs>
    <ds:schemaRef ds:uri="http://purl.org/dc/elements/1.1/"/>
    <ds:schemaRef ds:uri="http://schemas.openxmlformats.org/package/2006/metadata/core-properties"/>
    <ds:schemaRef ds:uri="http://purl.org/dc/dcmitype/"/>
    <ds:schemaRef ds:uri="8931870e-3f5a-430d-b2a8-6f4cc460a866"/>
    <ds:schemaRef ds:uri="http://schemas.microsoft.com/office/2006/metadata/properties"/>
    <ds:schemaRef ds:uri="http://schemas.microsoft.com/office/2006/documentManagement/types"/>
    <ds:schemaRef ds:uri="7dfb703d-c66f-4e11-af73-ec7321244159"/>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6091FDD-BCF2-4FC0-AD41-009629350EFA}">
  <ds:schemaRefs>
    <ds:schemaRef ds:uri="http://schemas.microsoft.com/sharepoint/v3/contenttype/forms"/>
  </ds:schemaRefs>
</ds:datastoreItem>
</file>

<file path=customXml/itemProps3.xml><?xml version="1.0" encoding="utf-8"?>
<ds:datastoreItem xmlns:ds="http://schemas.openxmlformats.org/officeDocument/2006/customXml" ds:itemID="{605CCFF9-0A00-4208-8178-B0794D95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8931870e-3f5a-430d-b2a8-6f4cc460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0DB6C-9767-48F5-9BAC-4215CABE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DONEY Richard</cp:lastModifiedBy>
  <cp:revision>4</cp:revision>
  <dcterms:created xsi:type="dcterms:W3CDTF">2023-01-26T09:55:00Z</dcterms:created>
  <dcterms:modified xsi:type="dcterms:W3CDTF">2023-01-26T09:57:00Z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